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7CFE" w14:textId="20D6FA3E" w:rsidR="0092740F" w:rsidRPr="00753D33" w:rsidRDefault="00173E96" w:rsidP="0092740F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494797">
        <w:rPr>
          <w:rFonts w:ascii="Arial" w:hAnsi="Arial" w:cs="Arial"/>
          <w:color w:val="0070C0"/>
          <w:sz w:val="40"/>
          <w:szCs w:val="40"/>
        </w:rPr>
        <w:t>L</w:t>
      </w:r>
      <w:r w:rsidR="00494797">
        <w:rPr>
          <w:rFonts w:ascii="Arial" w:hAnsi="Arial" w:cs="Arial"/>
          <w:color w:val="0070C0"/>
          <w:sz w:val="40"/>
          <w:szCs w:val="40"/>
        </w:rPr>
        <w:t>UMEN</w:t>
      </w:r>
      <w:r w:rsidR="0092740F" w:rsidRPr="00753D33">
        <w:rPr>
          <w:rFonts w:ascii="Arial" w:hAnsi="Arial" w:cs="Arial"/>
          <w:color w:val="808080" w:themeColor="background1" w:themeShade="80"/>
          <w:sz w:val="40"/>
          <w:szCs w:val="40"/>
        </w:rPr>
        <w:t>™</w:t>
      </w:r>
      <w:r w:rsidR="0092740F" w:rsidRPr="00753D33">
        <w:rPr>
          <w:rFonts w:ascii="Arial" w:hAnsi="Arial" w:cs="Arial"/>
          <w:sz w:val="40"/>
          <w:szCs w:val="40"/>
        </w:rPr>
        <w:t xml:space="preserve"> EASE Customer Impact Bulletin</w:t>
      </w:r>
    </w:p>
    <w:p w14:paraId="6352E5B4" w14:textId="77777777" w:rsidR="0092740F" w:rsidRPr="00753D33" w:rsidRDefault="0092740F" w:rsidP="009274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E430487" w14:textId="4ABB3533" w:rsidR="0092740F" w:rsidRPr="00753D33" w:rsidRDefault="0092740F" w:rsidP="0092740F">
      <w:pPr>
        <w:spacing w:after="0"/>
        <w:rPr>
          <w:rFonts w:ascii="Arial" w:hAnsi="Arial" w:cs="Arial"/>
        </w:rPr>
      </w:pPr>
      <w:r w:rsidRPr="00753D33">
        <w:rPr>
          <w:rFonts w:ascii="Arial" w:hAnsi="Arial" w:cs="Arial"/>
        </w:rPr>
        <w:t xml:space="preserve">Date of Notification:   </w:t>
      </w:r>
      <w:r w:rsidRPr="00753D33">
        <w:rPr>
          <w:rFonts w:ascii="Arial" w:hAnsi="Arial" w:cs="Arial"/>
        </w:rPr>
        <w:tab/>
      </w:r>
    </w:p>
    <w:p w14:paraId="6C119C96" w14:textId="310B175D" w:rsidR="0092740F" w:rsidRPr="00753D33" w:rsidRDefault="0092740F" w:rsidP="0092740F">
      <w:pPr>
        <w:spacing w:after="0"/>
        <w:rPr>
          <w:rFonts w:ascii="Arial" w:hAnsi="Arial" w:cs="Arial"/>
        </w:rPr>
      </w:pPr>
      <w:r w:rsidRPr="00753D33">
        <w:rPr>
          <w:rFonts w:ascii="Arial" w:hAnsi="Arial" w:cs="Arial"/>
        </w:rPr>
        <w:t xml:space="preserve">Subject:   </w:t>
      </w:r>
      <w:r w:rsidRPr="00753D33">
        <w:rPr>
          <w:rFonts w:ascii="Arial" w:hAnsi="Arial" w:cs="Arial"/>
        </w:rPr>
        <w:tab/>
      </w:r>
      <w:r w:rsidRPr="00753D33">
        <w:rPr>
          <w:rFonts w:ascii="Arial" w:hAnsi="Arial" w:cs="Arial"/>
        </w:rPr>
        <w:tab/>
      </w:r>
      <w:r w:rsidR="003433ED">
        <w:rPr>
          <w:rFonts w:ascii="Arial" w:hAnsi="Arial" w:cs="Arial"/>
        </w:rPr>
        <w:t>ASOG 6</w:t>
      </w:r>
      <w:r w:rsidR="003B35AF">
        <w:rPr>
          <w:rFonts w:ascii="Arial" w:hAnsi="Arial" w:cs="Arial"/>
        </w:rPr>
        <w:t>3 – Initial Customer Notification (Day 72/60)</w:t>
      </w:r>
    </w:p>
    <w:p w14:paraId="7AB115E8" w14:textId="77777777" w:rsidR="0092740F" w:rsidRPr="00753D33" w:rsidRDefault="0092740F" w:rsidP="0092740F">
      <w:pPr>
        <w:spacing w:after="0"/>
        <w:rPr>
          <w:rFonts w:ascii="Arial" w:hAnsi="Arial" w:cs="Arial"/>
        </w:rPr>
      </w:pPr>
      <w:r w:rsidRPr="00753D33">
        <w:rPr>
          <w:rFonts w:ascii="Arial" w:hAnsi="Arial" w:cs="Arial"/>
        </w:rPr>
        <w:t xml:space="preserve">System(s) Impacted:  </w:t>
      </w:r>
      <w:r w:rsidRPr="00753D33">
        <w:rPr>
          <w:rFonts w:ascii="Arial" w:hAnsi="Arial" w:cs="Arial"/>
        </w:rPr>
        <w:tab/>
        <w:t xml:space="preserve">EASE, UOM  </w:t>
      </w:r>
    </w:p>
    <w:p w14:paraId="76A26960" w14:textId="77777777" w:rsidR="0092740F" w:rsidRPr="00753D33" w:rsidRDefault="0092740F" w:rsidP="0092740F">
      <w:pPr>
        <w:spacing w:after="0"/>
        <w:rPr>
          <w:rFonts w:ascii="Arial" w:hAnsi="Arial" w:cs="Arial"/>
        </w:rPr>
      </w:pPr>
      <w:r w:rsidRPr="00753D33">
        <w:rPr>
          <w:rFonts w:ascii="Arial" w:hAnsi="Arial" w:cs="Arial"/>
        </w:rPr>
        <w:t xml:space="preserve">Areas Impacted:   </w:t>
      </w:r>
      <w:r w:rsidRPr="00753D33">
        <w:rPr>
          <w:rFonts w:ascii="Arial" w:hAnsi="Arial" w:cs="Arial"/>
        </w:rPr>
        <w:tab/>
        <w:t>ASR customers (IXC, Wireless, CLEC, ISP)</w:t>
      </w:r>
    </w:p>
    <w:p w14:paraId="4FB19111" w14:textId="4CECC3F0" w:rsidR="0092740F" w:rsidRPr="00753D33" w:rsidRDefault="0092740F" w:rsidP="0092740F">
      <w:pPr>
        <w:spacing w:after="0"/>
        <w:rPr>
          <w:rFonts w:ascii="Arial" w:hAnsi="Arial" w:cs="Arial"/>
        </w:rPr>
      </w:pPr>
      <w:r w:rsidRPr="00753D33">
        <w:rPr>
          <w:rFonts w:ascii="Arial" w:hAnsi="Arial" w:cs="Arial"/>
        </w:rPr>
        <w:t xml:space="preserve">Date Effective:  </w:t>
      </w:r>
      <w:r w:rsidRPr="00753D33">
        <w:rPr>
          <w:rFonts w:ascii="Arial" w:hAnsi="Arial" w:cs="Arial"/>
        </w:rPr>
        <w:tab/>
      </w:r>
      <w:r w:rsidR="003B35AF">
        <w:rPr>
          <w:rFonts w:ascii="Arial" w:hAnsi="Arial" w:cs="Arial"/>
        </w:rPr>
        <w:t>09/18/21</w:t>
      </w:r>
    </w:p>
    <w:p w14:paraId="6A17297E" w14:textId="77777777" w:rsidR="0092740F" w:rsidRPr="00753D33" w:rsidRDefault="0092740F" w:rsidP="0092740F">
      <w:pPr>
        <w:spacing w:after="0"/>
        <w:rPr>
          <w:rFonts w:ascii="Arial" w:hAnsi="Arial" w:cs="Arial"/>
        </w:rPr>
      </w:pPr>
    </w:p>
    <w:p w14:paraId="159FAB55" w14:textId="180D4AAF" w:rsidR="0092740F" w:rsidRPr="00753D33" w:rsidRDefault="00536647" w:rsidP="0092740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6D365" wp14:editId="722740AB">
                <wp:simplePos x="0" y="0"/>
                <wp:positionH relativeFrom="column">
                  <wp:posOffset>8414</wp:posOffset>
                </wp:positionH>
                <wp:positionV relativeFrom="paragraph">
                  <wp:posOffset>59745</wp:posOffset>
                </wp:positionV>
                <wp:extent cx="6664461" cy="0"/>
                <wp:effectExtent l="0" t="19050" r="4127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4461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F8B8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4.7pt" to="525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" strokecolor="#0070c0" strokeweight="4.5pt"/>
            </w:pict>
          </mc:Fallback>
        </mc:AlternateContent>
      </w:r>
    </w:p>
    <w:p w14:paraId="297C8637" w14:textId="3A85CDC0" w:rsidR="0092740F" w:rsidRPr="00753D33" w:rsidRDefault="0092740F" w:rsidP="0092740F">
      <w:pPr>
        <w:rPr>
          <w:rFonts w:ascii="Arial" w:hAnsi="Arial" w:cs="Arial"/>
        </w:rPr>
      </w:pPr>
      <w:r w:rsidRPr="00753D33">
        <w:rPr>
          <w:rFonts w:ascii="Arial" w:hAnsi="Arial" w:cs="Arial"/>
        </w:rPr>
        <w:t xml:space="preserve">Effective Saturday, </w:t>
      </w:r>
      <w:r w:rsidR="003B35AF">
        <w:rPr>
          <w:rFonts w:ascii="Arial" w:hAnsi="Arial" w:cs="Arial"/>
        </w:rPr>
        <w:t>September 18</w:t>
      </w:r>
      <w:r w:rsidR="003433ED">
        <w:rPr>
          <w:rFonts w:ascii="Arial" w:hAnsi="Arial" w:cs="Arial"/>
        </w:rPr>
        <w:t>, 2021</w:t>
      </w:r>
      <w:r w:rsidR="002953CD">
        <w:rPr>
          <w:rFonts w:ascii="Arial" w:hAnsi="Arial" w:cs="Arial"/>
        </w:rPr>
        <w:t>,</w:t>
      </w:r>
      <w:r w:rsidR="002265DC" w:rsidRPr="00753D33">
        <w:rPr>
          <w:rFonts w:ascii="Arial" w:hAnsi="Arial" w:cs="Arial"/>
        </w:rPr>
        <w:t xml:space="preserve"> </w:t>
      </w:r>
      <w:r w:rsidR="00536647">
        <w:rPr>
          <w:rFonts w:ascii="Arial" w:hAnsi="Arial" w:cs="Arial"/>
        </w:rPr>
        <w:t>Lumen</w:t>
      </w:r>
      <w:r w:rsidRPr="00753D33">
        <w:rPr>
          <w:rFonts w:ascii="Arial" w:hAnsi="Arial" w:cs="Arial"/>
        </w:rPr>
        <w:t xml:space="preserve"> will implement Version</w:t>
      </w:r>
      <w:r w:rsidR="000A5D11">
        <w:rPr>
          <w:rFonts w:ascii="Arial" w:hAnsi="Arial" w:cs="Arial"/>
        </w:rPr>
        <w:t xml:space="preserve">s </w:t>
      </w:r>
      <w:r w:rsidR="003433ED">
        <w:rPr>
          <w:rFonts w:ascii="Arial" w:hAnsi="Arial" w:cs="Arial"/>
        </w:rPr>
        <w:t>6</w:t>
      </w:r>
      <w:r w:rsidR="003B35AF">
        <w:rPr>
          <w:rFonts w:ascii="Arial" w:hAnsi="Arial" w:cs="Arial"/>
        </w:rPr>
        <w:t>3</w:t>
      </w:r>
      <w:r w:rsidRPr="00753D33">
        <w:rPr>
          <w:rFonts w:ascii="Arial" w:hAnsi="Arial" w:cs="Arial"/>
        </w:rPr>
        <w:t xml:space="preserve"> of the Access Services Ordering Guidelines within its Pre-Order and Ordering Interface systems.   </w:t>
      </w:r>
    </w:p>
    <w:p w14:paraId="2935B783" w14:textId="417CED97" w:rsidR="0092740F" w:rsidRDefault="0092740F" w:rsidP="0092740F">
      <w:pPr>
        <w:rPr>
          <w:rFonts w:ascii="Arial" w:hAnsi="Arial" w:cs="Arial"/>
          <w:b/>
          <w:i/>
        </w:rPr>
      </w:pPr>
      <w:bookmarkStart w:id="0" w:name="_Hlk29538160"/>
      <w:r w:rsidRPr="00753D33">
        <w:rPr>
          <w:rFonts w:ascii="Arial" w:hAnsi="Arial" w:cs="Arial"/>
        </w:rPr>
        <w:t xml:space="preserve">During the release implementation, EASE VFO (Virtual Front Office) and UOM (Unified Ordering Model) will be unavailable for processing transactions from </w:t>
      </w:r>
      <w:r w:rsidRPr="00753D33">
        <w:rPr>
          <w:rFonts w:ascii="Arial" w:hAnsi="Arial" w:cs="Arial"/>
          <w:b/>
          <w:i/>
        </w:rPr>
        <w:t xml:space="preserve">5:00 PM ET on </w:t>
      </w:r>
      <w:r w:rsidR="00557778">
        <w:rPr>
          <w:rFonts w:ascii="Arial" w:hAnsi="Arial" w:cs="Arial"/>
          <w:b/>
          <w:i/>
        </w:rPr>
        <w:t xml:space="preserve">September </w:t>
      </w:r>
      <w:proofErr w:type="gramStart"/>
      <w:r w:rsidR="00557778">
        <w:rPr>
          <w:rFonts w:ascii="Arial" w:hAnsi="Arial" w:cs="Arial"/>
          <w:b/>
          <w:i/>
        </w:rPr>
        <w:t xml:space="preserve">17 </w:t>
      </w:r>
      <w:r w:rsidR="003433ED">
        <w:rPr>
          <w:rFonts w:ascii="Arial" w:hAnsi="Arial" w:cs="Arial"/>
          <w:b/>
          <w:i/>
        </w:rPr>
        <w:t>,</w:t>
      </w:r>
      <w:proofErr w:type="gramEnd"/>
      <w:r w:rsidR="003433ED">
        <w:rPr>
          <w:rFonts w:ascii="Arial" w:hAnsi="Arial" w:cs="Arial"/>
          <w:b/>
          <w:i/>
        </w:rPr>
        <w:t xml:space="preserve"> 2021</w:t>
      </w:r>
      <w:r w:rsidR="002265DC" w:rsidRPr="00753D33">
        <w:rPr>
          <w:rFonts w:ascii="Arial" w:hAnsi="Arial" w:cs="Arial"/>
          <w:b/>
          <w:i/>
        </w:rPr>
        <w:t xml:space="preserve"> </w:t>
      </w:r>
      <w:r w:rsidRPr="00753D33">
        <w:rPr>
          <w:rFonts w:ascii="Arial" w:hAnsi="Arial" w:cs="Arial"/>
          <w:b/>
          <w:i/>
        </w:rPr>
        <w:t xml:space="preserve">until 7:00 AM ET on Monday, </w:t>
      </w:r>
      <w:r w:rsidR="00557778">
        <w:rPr>
          <w:rFonts w:ascii="Arial" w:hAnsi="Arial" w:cs="Arial"/>
          <w:b/>
          <w:i/>
        </w:rPr>
        <w:t>September 21</w:t>
      </w:r>
      <w:r w:rsidR="003433ED">
        <w:rPr>
          <w:rFonts w:ascii="Arial" w:hAnsi="Arial" w:cs="Arial"/>
          <w:b/>
          <w:i/>
        </w:rPr>
        <w:t>, 2021</w:t>
      </w:r>
      <w:r w:rsidRPr="00753D33">
        <w:rPr>
          <w:rFonts w:ascii="Arial" w:hAnsi="Arial" w:cs="Arial"/>
          <w:b/>
          <w:i/>
        </w:rPr>
        <w:t xml:space="preserve">. </w:t>
      </w:r>
    </w:p>
    <w:p w14:paraId="0DC6577B" w14:textId="54EE66E0" w:rsidR="00DF7634" w:rsidRDefault="00DF7634" w:rsidP="0092740F">
      <w:pPr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903"/>
        <w:gridCol w:w="8177"/>
      </w:tblGrid>
      <w:tr w:rsidR="000B792E" w:rsidRPr="00753D33" w14:paraId="1B8C56B2" w14:textId="77777777" w:rsidTr="00EC4A36">
        <w:trPr>
          <w:trHeight w:hRule="exact" w:val="253"/>
        </w:trPr>
        <w:tc>
          <w:tcPr>
            <w:tcW w:w="10080" w:type="dxa"/>
            <w:gridSpan w:val="2"/>
            <w:shd w:val="clear" w:color="auto" w:fill="D9D9D9" w:themeFill="background1" w:themeFillShade="D9"/>
          </w:tcPr>
          <w:p w14:paraId="38A13573" w14:textId="77777777" w:rsidR="000B792E" w:rsidRPr="00753D33" w:rsidRDefault="000B792E" w:rsidP="00EC4A3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53D33">
              <w:rPr>
                <w:rFonts w:ascii="Arial" w:hAnsi="Arial" w:cs="Arial"/>
                <w:b/>
                <w:szCs w:val="24"/>
              </w:rPr>
              <w:t>ISSUES INCLUDED IN THIS SYNOPSIS</w:t>
            </w:r>
          </w:p>
        </w:tc>
      </w:tr>
      <w:tr w:rsidR="000B792E" w:rsidRPr="00753D33" w14:paraId="531CAD0A" w14:textId="77777777" w:rsidTr="00EC4A36">
        <w:trPr>
          <w:trHeight w:hRule="exact" w:val="262"/>
        </w:trPr>
        <w:tc>
          <w:tcPr>
            <w:tcW w:w="0" w:type="auto"/>
            <w:shd w:val="clear" w:color="auto" w:fill="D9D9D9" w:themeFill="background1" w:themeFillShade="D9"/>
          </w:tcPr>
          <w:p w14:paraId="71E69CF0" w14:textId="77777777" w:rsidR="000B792E" w:rsidRPr="00753D33" w:rsidRDefault="000B792E" w:rsidP="00EC4A3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53D33">
              <w:rPr>
                <w:rFonts w:ascii="Arial" w:hAnsi="Arial" w:cs="Arial"/>
                <w:b/>
                <w:snapToGrid w:val="0"/>
                <w:szCs w:val="24"/>
              </w:rPr>
              <w:t>ISSUE NUMBER</w:t>
            </w:r>
          </w:p>
        </w:tc>
        <w:tc>
          <w:tcPr>
            <w:tcW w:w="8177" w:type="dxa"/>
            <w:shd w:val="clear" w:color="auto" w:fill="D9D9D9" w:themeFill="background1" w:themeFillShade="D9"/>
          </w:tcPr>
          <w:p w14:paraId="371F9ED2" w14:textId="77777777" w:rsidR="000B792E" w:rsidRPr="00753D33" w:rsidRDefault="000B792E" w:rsidP="00EC4A36">
            <w:pPr>
              <w:rPr>
                <w:rFonts w:ascii="Arial" w:hAnsi="Arial" w:cs="Arial"/>
                <w:b/>
                <w:szCs w:val="24"/>
              </w:rPr>
            </w:pPr>
            <w:r w:rsidRPr="00753D33">
              <w:rPr>
                <w:rFonts w:ascii="Arial" w:hAnsi="Arial" w:cs="Arial"/>
                <w:b/>
                <w:szCs w:val="24"/>
              </w:rPr>
              <w:t>DESCRIPTION</w:t>
            </w:r>
          </w:p>
        </w:tc>
      </w:tr>
      <w:tr w:rsidR="00B50508" w:rsidRPr="00753D33" w14:paraId="24746B00" w14:textId="77777777" w:rsidTr="00EC4A36">
        <w:trPr>
          <w:trHeight w:val="315"/>
        </w:trPr>
        <w:tc>
          <w:tcPr>
            <w:tcW w:w="1903" w:type="dxa"/>
            <w:vAlign w:val="center"/>
          </w:tcPr>
          <w:p w14:paraId="3679116E" w14:textId="6853BEBF" w:rsidR="00B50508" w:rsidRPr="00557778" w:rsidRDefault="00B50508" w:rsidP="00957B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7778">
              <w:rPr>
                <w:rFonts w:ascii="Arial" w:hAnsi="Arial" w:cs="Arial"/>
              </w:rPr>
              <w:t>3643</w:t>
            </w:r>
          </w:p>
        </w:tc>
        <w:tc>
          <w:tcPr>
            <w:tcW w:w="8177" w:type="dxa"/>
            <w:vAlign w:val="center"/>
          </w:tcPr>
          <w:p w14:paraId="5D9E7ED4" w14:textId="58E3AC5A" w:rsidR="00B50508" w:rsidRPr="00557778" w:rsidRDefault="00B50508" w:rsidP="00B50508">
            <w:pPr>
              <w:pStyle w:val="Heading1"/>
              <w:numPr>
                <w:ilvl w:val="0"/>
                <w:numId w:val="0"/>
              </w:numPr>
              <w:shd w:val="clear" w:color="auto" w:fill="FFFFFF"/>
              <w:spacing w:before="0" w:after="0" w:line="319" w:lineRule="atLeast"/>
              <w:ind w:right="150"/>
              <w:outlineLv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557778">
              <w:rPr>
                <w:rFonts w:cs="Arial"/>
                <w:b w:val="0"/>
                <w:bCs/>
                <w:color w:val="000000"/>
                <w:sz w:val="22"/>
                <w:szCs w:val="22"/>
              </w:rPr>
              <w:t xml:space="preserve">OBF Issue 3643, Update the meet point exchange process defined by Issue 3464, MECOD: Develop a more standardized provider to provider process for the communication of meet point </w:t>
            </w:r>
            <w:proofErr w:type="gramStart"/>
            <w:r w:rsidRPr="00557778">
              <w:rPr>
                <w:rFonts w:cs="Arial"/>
                <w:b w:val="0"/>
                <w:bCs/>
                <w:color w:val="000000"/>
                <w:sz w:val="22"/>
                <w:szCs w:val="22"/>
              </w:rPr>
              <w:t>information</w:t>
            </w:r>
            <w:r w:rsidR="00557778">
              <w:rPr>
                <w:rFonts w:cs="Arial"/>
                <w:b w:val="0"/>
                <w:bCs/>
                <w:color w:val="000000"/>
                <w:sz w:val="22"/>
                <w:szCs w:val="22"/>
              </w:rPr>
              <w:t xml:space="preserve">  --</w:t>
            </w:r>
            <w:proofErr w:type="gramEnd"/>
            <w:r w:rsidR="00557778">
              <w:rPr>
                <w:rFonts w:cs="Arial"/>
                <w:b w:val="0"/>
                <w:bCs/>
                <w:color w:val="000000"/>
                <w:sz w:val="22"/>
                <w:szCs w:val="22"/>
              </w:rPr>
              <w:t xml:space="preserve"> Released with ASOG 63, Implemented with ASOG 63.</w:t>
            </w:r>
          </w:p>
        </w:tc>
      </w:tr>
      <w:tr w:rsidR="00557778" w:rsidRPr="00753D33" w14:paraId="7C25C2B4" w14:textId="77777777" w:rsidTr="00093BD1">
        <w:trPr>
          <w:trHeight w:val="315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B48C" w14:textId="0567F362" w:rsidR="00557778" w:rsidRPr="00557778" w:rsidRDefault="00557778" w:rsidP="00557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7778">
              <w:rPr>
                <w:rFonts w:ascii="Arial" w:hAnsi="Arial" w:cs="Arial"/>
              </w:rPr>
              <w:t>3654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47C3" w14:textId="4FAB0813" w:rsidR="00557778" w:rsidRPr="00557778" w:rsidRDefault="00557778" w:rsidP="00557778">
            <w:pPr>
              <w:pStyle w:val="Heading1"/>
              <w:numPr>
                <w:ilvl w:val="0"/>
                <w:numId w:val="0"/>
              </w:numPr>
              <w:shd w:val="clear" w:color="auto" w:fill="FFFFFF"/>
              <w:spacing w:before="0" w:after="0" w:line="319" w:lineRule="atLeast"/>
              <w:ind w:right="150"/>
              <w:outlineLv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557778">
              <w:rPr>
                <w:rFonts w:cs="Arial"/>
                <w:b w:val="0"/>
                <w:bCs/>
                <w:sz w:val="22"/>
                <w:szCs w:val="22"/>
              </w:rPr>
              <w:t>ASOG: Prohibited Special Characters</w:t>
            </w:r>
          </w:p>
        </w:tc>
      </w:tr>
      <w:tr w:rsidR="00557778" w:rsidRPr="00753D33" w14:paraId="6C61BC9B" w14:textId="77777777" w:rsidTr="00093BD1">
        <w:trPr>
          <w:trHeight w:val="315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6607" w14:textId="6F61998A" w:rsidR="00557778" w:rsidRPr="00557778" w:rsidRDefault="00557778" w:rsidP="00557778">
            <w:pPr>
              <w:jc w:val="center"/>
              <w:rPr>
                <w:rFonts w:ascii="Arial" w:hAnsi="Arial" w:cs="Arial"/>
                <w:color w:val="000000"/>
              </w:rPr>
            </w:pPr>
            <w:r w:rsidRPr="00557778">
              <w:rPr>
                <w:rFonts w:ascii="Arial" w:hAnsi="Arial" w:cs="Arial"/>
              </w:rPr>
              <w:t>3655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F968" w14:textId="0E4C3EC5" w:rsidR="00557778" w:rsidRPr="00557778" w:rsidRDefault="00557778" w:rsidP="00557778">
            <w:pPr>
              <w:rPr>
                <w:rFonts w:ascii="Arial" w:hAnsi="Arial" w:cs="Arial"/>
                <w:color w:val="000000"/>
              </w:rPr>
            </w:pPr>
            <w:r w:rsidRPr="00557778">
              <w:rPr>
                <w:rFonts w:ascii="Arial" w:hAnsi="Arial" w:cs="Arial"/>
              </w:rPr>
              <w:t>ASOG: Modify CNT value to acknowledge PRE-FOC Jeopardy</w:t>
            </w:r>
          </w:p>
        </w:tc>
      </w:tr>
    </w:tbl>
    <w:p w14:paraId="785CDAFF" w14:textId="77777777" w:rsidR="000B15E4" w:rsidRDefault="000B15E4" w:rsidP="0092740F">
      <w:pPr>
        <w:rPr>
          <w:rFonts w:ascii="Arial" w:hAnsi="Arial" w:cs="Arial"/>
        </w:rPr>
      </w:pPr>
    </w:p>
    <w:p w14:paraId="58ED8234" w14:textId="158CACDE" w:rsidR="00DF7634" w:rsidRDefault="000B15E4" w:rsidP="000B15E4">
      <w:pPr>
        <w:jc w:val="both"/>
        <w:rPr>
          <w:rFonts w:ascii="Arial" w:hAnsi="Arial" w:cs="Arial"/>
          <w:b/>
          <w:i/>
        </w:rPr>
      </w:pPr>
      <w:r w:rsidRPr="00753D33">
        <w:rPr>
          <w:rFonts w:ascii="Arial" w:hAnsi="Arial" w:cs="Arial"/>
        </w:rPr>
        <w:t xml:space="preserve">With the </w:t>
      </w:r>
      <w:r w:rsidR="00557778">
        <w:rPr>
          <w:rFonts w:ascii="Arial" w:hAnsi="Arial" w:cs="Arial"/>
          <w:b/>
        </w:rPr>
        <w:t>ASOG 63</w:t>
      </w:r>
      <w:r w:rsidRPr="00753D33">
        <w:rPr>
          <w:rFonts w:ascii="Arial" w:hAnsi="Arial" w:cs="Arial"/>
        </w:rPr>
        <w:t xml:space="preserve"> release on </w:t>
      </w:r>
      <w:r w:rsidR="00557778">
        <w:rPr>
          <w:rFonts w:ascii="Arial" w:hAnsi="Arial" w:cs="Arial"/>
        </w:rPr>
        <w:t>September 18</w:t>
      </w:r>
      <w:r w:rsidR="000C08B2">
        <w:rPr>
          <w:rFonts w:ascii="Arial" w:hAnsi="Arial" w:cs="Arial"/>
        </w:rPr>
        <w:t>, 2021</w:t>
      </w:r>
      <w:r w:rsidRPr="00753D33">
        <w:rPr>
          <w:rFonts w:ascii="Arial" w:hAnsi="Arial" w:cs="Arial"/>
        </w:rPr>
        <w:t xml:space="preserve">, </w:t>
      </w:r>
      <w:r w:rsidR="00536647">
        <w:rPr>
          <w:rFonts w:ascii="Arial" w:hAnsi="Arial" w:cs="Arial"/>
        </w:rPr>
        <w:t>Lumen</w:t>
      </w:r>
      <w:r w:rsidRPr="00753D33">
        <w:rPr>
          <w:rFonts w:ascii="Arial" w:hAnsi="Arial" w:cs="Arial"/>
        </w:rPr>
        <w:t xml:space="preserve"> will support the following ASR modifications</w:t>
      </w:r>
    </w:p>
    <w:p w14:paraId="6BBC07AA" w14:textId="77777777" w:rsidR="003B35AF" w:rsidRDefault="003B35AF" w:rsidP="0092740F">
      <w:pPr>
        <w:rPr>
          <w:rFonts w:ascii="Arial" w:hAnsi="Arial" w:cs="Arial"/>
          <w:b/>
          <w:i/>
        </w:rPr>
      </w:pPr>
    </w:p>
    <w:tbl>
      <w:tblPr>
        <w:tblStyle w:val="TableGrid"/>
        <w:tblW w:w="10638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237"/>
        <w:gridCol w:w="1823"/>
        <w:gridCol w:w="7578"/>
      </w:tblGrid>
      <w:tr w:rsidR="000B15E4" w:rsidRPr="00753D33" w14:paraId="69E0920A" w14:textId="77777777" w:rsidTr="00EC4A36">
        <w:tc>
          <w:tcPr>
            <w:tcW w:w="1237" w:type="dxa"/>
            <w:shd w:val="clear" w:color="auto" w:fill="D9D9D9" w:themeFill="background1" w:themeFillShade="D9"/>
          </w:tcPr>
          <w:p w14:paraId="0C0F13E2" w14:textId="77777777" w:rsidR="000B15E4" w:rsidRPr="00753D33" w:rsidRDefault="000B15E4" w:rsidP="00EC4A36">
            <w:pPr>
              <w:rPr>
                <w:rFonts w:cstheme="minorHAnsi"/>
                <w:sz w:val="20"/>
                <w:szCs w:val="20"/>
              </w:rPr>
            </w:pPr>
            <w:r w:rsidRPr="00753D33">
              <w:rPr>
                <w:rFonts w:cstheme="minorHAnsi"/>
                <w:sz w:val="20"/>
                <w:szCs w:val="20"/>
              </w:rPr>
              <w:t>ASR FORM</w:t>
            </w:r>
          </w:p>
        </w:tc>
        <w:tc>
          <w:tcPr>
            <w:tcW w:w="1823" w:type="dxa"/>
            <w:shd w:val="clear" w:color="auto" w:fill="D9D9D9" w:themeFill="background1" w:themeFillShade="D9"/>
          </w:tcPr>
          <w:p w14:paraId="397A726F" w14:textId="3E96D34A" w:rsidR="000B15E4" w:rsidRPr="00753D33" w:rsidRDefault="000B15E4" w:rsidP="00EC4A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78" w:type="dxa"/>
            <w:shd w:val="clear" w:color="auto" w:fill="D9D9D9" w:themeFill="background1" w:themeFillShade="D9"/>
          </w:tcPr>
          <w:p w14:paraId="2984E20B" w14:textId="3BABEAB7" w:rsidR="000B15E4" w:rsidRPr="00753D33" w:rsidRDefault="000B15E4" w:rsidP="00EC4A36">
            <w:pPr>
              <w:rPr>
                <w:rFonts w:ascii="Arial" w:hAnsi="Arial" w:cs="Arial"/>
              </w:rPr>
            </w:pPr>
            <w:r w:rsidRPr="00753D33">
              <w:rPr>
                <w:rFonts w:ascii="Arial" w:hAnsi="Arial" w:cs="Arial"/>
              </w:rPr>
              <w:t>ASR 6</w:t>
            </w:r>
            <w:r>
              <w:rPr>
                <w:rFonts w:ascii="Arial" w:hAnsi="Arial" w:cs="Arial"/>
              </w:rPr>
              <w:t>1</w:t>
            </w:r>
            <w:r w:rsidRPr="00753D33">
              <w:rPr>
                <w:rFonts w:ascii="Arial" w:hAnsi="Arial" w:cs="Arial"/>
              </w:rPr>
              <w:t xml:space="preserve"> Modification</w:t>
            </w:r>
          </w:p>
        </w:tc>
      </w:tr>
      <w:tr w:rsidR="00E06414" w:rsidRPr="00753D33" w14:paraId="54DBF5C5" w14:textId="77777777" w:rsidTr="00EC4A36">
        <w:tc>
          <w:tcPr>
            <w:tcW w:w="1237" w:type="dxa"/>
          </w:tcPr>
          <w:p w14:paraId="11EE880D" w14:textId="5CC4FDCC" w:rsidR="00E06414" w:rsidRPr="00753D33" w:rsidRDefault="003B35AF" w:rsidP="00EC4A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000a</w:t>
            </w:r>
          </w:p>
        </w:tc>
        <w:tc>
          <w:tcPr>
            <w:tcW w:w="1823" w:type="dxa"/>
          </w:tcPr>
          <w:p w14:paraId="06E6243B" w14:textId="73B466CD" w:rsidR="00E06414" w:rsidRPr="00753D33" w:rsidRDefault="003B35AF" w:rsidP="00EC4A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78" w:type="dxa"/>
          </w:tcPr>
          <w:p w14:paraId="3FEEC9EE" w14:textId="77777777" w:rsidR="00E06414" w:rsidRDefault="003B35AF" w:rsidP="003B35AF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Section 2.4 Conventions</w:t>
            </w:r>
          </w:p>
          <w:p w14:paraId="21767490" w14:textId="77777777" w:rsidR="003B35AF" w:rsidRDefault="003B35AF" w:rsidP="003B35AF">
            <w:pPr>
              <w:spacing w:after="0" w:line="240" w:lineRule="auto"/>
              <w:rPr>
                <w:i/>
                <w:iCs/>
              </w:rPr>
            </w:pPr>
          </w:p>
          <w:p w14:paraId="76439751" w14:textId="1B61B69F" w:rsidR="003B35AF" w:rsidRDefault="00D54007" w:rsidP="003B35AF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Addition of </w:t>
            </w:r>
            <w:r w:rsidR="003B35AF">
              <w:rPr>
                <w:i/>
                <w:iCs/>
              </w:rPr>
              <w:t>Allowable Special Characters</w:t>
            </w:r>
          </w:p>
          <w:p w14:paraId="1A4CE97F" w14:textId="2B1E20EC" w:rsidR="003B35AF" w:rsidRDefault="003B35AF" w:rsidP="003B35A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tbl>
            <w:tblPr>
              <w:tblW w:w="34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2400"/>
            </w:tblGrid>
            <w:tr w:rsidR="00466181" w14:paraId="7767A64E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noWrap/>
                  <w:vAlign w:val="bottom"/>
                  <w:hideMark/>
                </w:tcPr>
                <w:p w14:paraId="4CA2B02E" w14:textId="77777777" w:rsidR="00466181" w:rsidRDefault="00466181" w:rsidP="00466181">
                  <w:pPr>
                    <w:spacing w:after="0"/>
                    <w:jc w:val="center"/>
                    <w:rPr>
                      <w:rFonts w:eastAsia="Times New Roman"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Character</w:t>
                  </w:r>
                </w:p>
              </w:tc>
              <w:tc>
                <w:tcPr>
                  <w:tcW w:w="240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FFCC99"/>
                  <w:noWrap/>
                  <w:vAlign w:val="bottom"/>
                  <w:hideMark/>
                </w:tcPr>
                <w:p w14:paraId="184DB00D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Description</w:t>
                  </w:r>
                </w:p>
              </w:tc>
            </w:tr>
            <w:tr w:rsidR="00466181" w14:paraId="0DAE3E11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63F865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%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3C3D107C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(percentage)</w:t>
                  </w:r>
                </w:p>
              </w:tc>
            </w:tr>
            <w:tr w:rsidR="00466181" w14:paraId="10875BF5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8FBD8E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$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5567F74E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(dollar sign)</w:t>
                  </w:r>
                </w:p>
              </w:tc>
            </w:tr>
            <w:tr w:rsidR="00466181" w14:paraId="6192FB1E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DF79B5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@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1F4CD4F8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(Email "at" sign)</w:t>
                  </w:r>
                </w:p>
              </w:tc>
            </w:tr>
            <w:tr w:rsidR="00466181" w14:paraId="26428899" w14:textId="77777777" w:rsidTr="00E95281">
              <w:trPr>
                <w:trHeight w:val="276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B8A39C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#  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6C697F38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(number sign)</w:t>
                  </w:r>
                </w:p>
              </w:tc>
            </w:tr>
            <w:tr w:rsidR="00466181" w14:paraId="74360E10" w14:textId="77777777" w:rsidTr="00466181">
              <w:trPr>
                <w:trHeight w:val="288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noWrap/>
                  <w:vAlign w:val="bottom"/>
                  <w:hideMark/>
                </w:tcPr>
                <w:p w14:paraId="617F15CB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&amp;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92CDDC" w:themeFill="accent5" w:themeFillTint="99"/>
                  <w:noWrap/>
                  <w:vAlign w:val="bottom"/>
                  <w:hideMark/>
                </w:tcPr>
                <w:p w14:paraId="63740022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(ampersand)</w:t>
                  </w:r>
                </w:p>
              </w:tc>
            </w:tr>
            <w:tr w:rsidR="00466181" w14:paraId="75BE89BA" w14:textId="77777777" w:rsidTr="00E95281">
              <w:trPr>
                <w:trHeight w:val="276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C6635D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( )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4DDEC1D3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(open close parentheses)</w:t>
                  </w:r>
                </w:p>
              </w:tc>
            </w:tr>
            <w:tr w:rsidR="00466181" w14:paraId="20C0471A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B688C0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{ }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5AA9020B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(open close brackets)</w:t>
                  </w:r>
                </w:p>
              </w:tc>
            </w:tr>
            <w:tr w:rsidR="00466181" w14:paraId="224300AC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746187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[ ]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0ACE2A8C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(open close brackets)</w:t>
                  </w:r>
                </w:p>
              </w:tc>
            </w:tr>
            <w:tr w:rsidR="00466181" w14:paraId="3B1D698F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7D88B8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*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0DF2EA91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(asterisk)</w:t>
                  </w:r>
                </w:p>
              </w:tc>
            </w:tr>
            <w:tr w:rsidR="00466181" w14:paraId="1F485298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676538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/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03A3001F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(forward slash)</w:t>
                  </w:r>
                </w:p>
              </w:tc>
            </w:tr>
            <w:tr w:rsidR="00466181" w14:paraId="693FEEAA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49566F0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\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629AD73B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(back slash)</w:t>
                  </w:r>
                </w:p>
              </w:tc>
            </w:tr>
            <w:tr w:rsidR="00466181" w14:paraId="4B88B609" w14:textId="77777777" w:rsidTr="004661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noWrap/>
                  <w:vAlign w:val="bottom"/>
                  <w:hideMark/>
                </w:tcPr>
                <w:p w14:paraId="54B3CFBD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'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92CDDC" w:themeFill="accent5" w:themeFillTint="99"/>
                  <w:noWrap/>
                  <w:vAlign w:val="bottom"/>
                  <w:hideMark/>
                </w:tcPr>
                <w:p w14:paraId="113579A7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(apostrophe)</w:t>
                  </w:r>
                </w:p>
              </w:tc>
            </w:tr>
            <w:tr w:rsidR="00466181" w14:paraId="5F9961FA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6BC6437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!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145D6FDE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(exclamation)</w:t>
                  </w:r>
                </w:p>
              </w:tc>
            </w:tr>
            <w:tr w:rsidR="00466181" w14:paraId="50284111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5094DB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.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206B51A7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(period)</w:t>
                  </w:r>
                </w:p>
              </w:tc>
            </w:tr>
            <w:tr w:rsidR="00466181" w14:paraId="3A2E4D7B" w14:textId="77777777" w:rsidTr="004661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bottom"/>
                  <w:hideMark/>
                </w:tcPr>
                <w:p w14:paraId="33551B5E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"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92CDDC" w:themeFill="accent5" w:themeFillTint="99"/>
                  <w:noWrap/>
                  <w:vAlign w:val="bottom"/>
                  <w:hideMark/>
                </w:tcPr>
                <w:p w14:paraId="6307B818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(quotation)</w:t>
                  </w:r>
                </w:p>
              </w:tc>
            </w:tr>
            <w:tr w:rsidR="00466181" w14:paraId="4BD1A04D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5F3C94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69A3CBE3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(colon)</w:t>
                  </w:r>
                </w:p>
              </w:tc>
            </w:tr>
            <w:tr w:rsidR="00466181" w14:paraId="6760C63B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FF85D6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+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3CBE30BE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(plus)</w:t>
                  </w:r>
                </w:p>
              </w:tc>
            </w:tr>
            <w:tr w:rsidR="00466181" w14:paraId="7FDECB0A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A1C424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-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06EE527A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(minus/dash)</w:t>
                  </w:r>
                </w:p>
              </w:tc>
            </w:tr>
            <w:tr w:rsidR="00466181" w14:paraId="5E1066C7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21202BBB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_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6A3A6A64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(underscore)</w:t>
                  </w:r>
                </w:p>
              </w:tc>
            </w:tr>
            <w:tr w:rsidR="00466181" w14:paraId="23F2A3FB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43C213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,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60792E50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(comma)</w:t>
                  </w:r>
                </w:p>
              </w:tc>
            </w:tr>
            <w:tr w:rsidR="00466181" w14:paraId="7633F290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89A3C2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;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715C1F91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(semi-colon)</w:t>
                  </w:r>
                </w:p>
              </w:tc>
            </w:tr>
            <w:tr w:rsidR="00466181" w14:paraId="1DFB8A40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1ED65F0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?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4B6C8A1E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(question mark)</w:t>
                  </w:r>
                </w:p>
              </w:tc>
            </w:tr>
            <w:tr w:rsidR="00466181" w14:paraId="14762344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F37B8F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" "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78D813A2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(a space)</w:t>
                  </w:r>
                </w:p>
              </w:tc>
            </w:tr>
            <w:tr w:rsidR="00466181" w14:paraId="415A5E91" w14:textId="77777777" w:rsidTr="00E95281">
              <w:trPr>
                <w:trHeight w:val="276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333B375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=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41785B7B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(equal)</w:t>
                  </w:r>
                </w:p>
              </w:tc>
            </w:tr>
            <w:tr w:rsidR="00466181" w14:paraId="52C91447" w14:textId="77777777" w:rsidTr="00E95281">
              <w:trPr>
                <w:trHeight w:val="276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nil"/>
                    <w:right w:val="single" w:sz="4" w:space="0" w:color="auto"/>
                  </w:tcBorders>
                  <w:noWrap/>
                  <w:hideMark/>
                </w:tcPr>
                <w:p w14:paraId="42EAB532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t>|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noWrap/>
                  <w:hideMark/>
                </w:tcPr>
                <w:p w14:paraId="413614CF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t>(vertical bar)</w:t>
                  </w:r>
                </w:p>
              </w:tc>
            </w:tr>
            <w:tr w:rsidR="00466181" w14:paraId="66FF02D9" w14:textId="77777777" w:rsidTr="00E95281">
              <w:trPr>
                <w:trHeight w:val="276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nil"/>
                    <w:right w:val="single" w:sz="4" w:space="0" w:color="auto"/>
                  </w:tcBorders>
                  <w:noWrap/>
                  <w:hideMark/>
                </w:tcPr>
                <w:p w14:paraId="071BC1C9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t>~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noWrap/>
                  <w:hideMark/>
                </w:tcPr>
                <w:p w14:paraId="4EE5F544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t>(tilde)</w:t>
                  </w:r>
                </w:p>
              </w:tc>
            </w:tr>
            <w:tr w:rsidR="00466181" w14:paraId="2329B5CC" w14:textId="77777777" w:rsidTr="00E95281">
              <w:trPr>
                <w:trHeight w:val="276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nil"/>
                    <w:right w:val="single" w:sz="4" w:space="0" w:color="auto"/>
                  </w:tcBorders>
                  <w:noWrap/>
                  <w:hideMark/>
                </w:tcPr>
                <w:p w14:paraId="601D342B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t>`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noWrap/>
                  <w:hideMark/>
                </w:tcPr>
                <w:p w14:paraId="5B6740B1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t>(back accent)</w:t>
                  </w:r>
                </w:p>
              </w:tc>
            </w:tr>
          </w:tbl>
          <w:p w14:paraId="3DE1D7A6" w14:textId="1C1AD3F3" w:rsidR="00466181" w:rsidRDefault="00466181" w:rsidP="003B35A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C41C02F" w14:textId="117699AD" w:rsidR="00466181" w:rsidRDefault="00466181" w:rsidP="003B35A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DF24A15" w14:textId="36236CC2" w:rsidR="00466181" w:rsidRDefault="00466181" w:rsidP="00466181">
            <w:pPr>
              <w:shd w:val="clear" w:color="auto" w:fill="92CDDC" w:themeFill="accent5" w:themeFillTint="99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LUMEN will require that the following special characters be encoded due to XML constraints</w:t>
            </w:r>
          </w:p>
          <w:p w14:paraId="787BBDA2" w14:textId="645F1788" w:rsidR="00466181" w:rsidRPr="00466181" w:rsidRDefault="00466181" w:rsidP="00466181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360" w:lineRule="atLeast"/>
              <w:textAlignment w:val="baseline"/>
              <w:rPr>
                <w:rFonts w:cstheme="minorHAnsi"/>
                <w:color w:val="666666"/>
              </w:rPr>
            </w:pPr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&amp;amp;</w:t>
            </w:r>
            <w:r w:rsidRPr="00466181">
              <w:rPr>
                <w:rFonts w:cstheme="minorHAnsi"/>
                <w:color w:val="666666"/>
              </w:rPr>
              <w:t> (</w:t>
            </w:r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&amp;</w:t>
            </w:r>
            <w:r w:rsidRPr="00466181">
              <w:rPr>
                <w:rFonts w:cstheme="minorHAnsi"/>
                <w:color w:val="666666"/>
              </w:rPr>
              <w:t>)</w:t>
            </w:r>
          </w:p>
          <w:p w14:paraId="3E26F560" w14:textId="77777777" w:rsidR="00466181" w:rsidRPr="00466181" w:rsidRDefault="00466181" w:rsidP="00466181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360" w:lineRule="atLeast"/>
              <w:textAlignment w:val="baseline"/>
              <w:rPr>
                <w:rFonts w:cstheme="minorHAnsi"/>
                <w:color w:val="666666"/>
              </w:rPr>
            </w:pPr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&amp;</w:t>
            </w:r>
            <w:proofErr w:type="spellStart"/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quot</w:t>
            </w:r>
            <w:proofErr w:type="spellEnd"/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;</w:t>
            </w:r>
            <w:r w:rsidRPr="00466181">
              <w:rPr>
                <w:rFonts w:cstheme="minorHAnsi"/>
                <w:color w:val="666666"/>
              </w:rPr>
              <w:t> (</w:t>
            </w:r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"</w:t>
            </w:r>
            <w:r w:rsidRPr="00466181">
              <w:rPr>
                <w:rFonts w:cstheme="minorHAnsi"/>
                <w:color w:val="666666"/>
              </w:rPr>
              <w:t>)</w:t>
            </w:r>
          </w:p>
          <w:p w14:paraId="77A031B9" w14:textId="2F16B57E" w:rsidR="00466181" w:rsidRDefault="00466181" w:rsidP="00466181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360" w:lineRule="atLeast"/>
              <w:textAlignment w:val="baseline"/>
              <w:rPr>
                <w:rFonts w:cstheme="minorHAnsi"/>
                <w:color w:val="666666"/>
              </w:rPr>
            </w:pPr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&amp;apos;</w:t>
            </w:r>
            <w:r w:rsidRPr="00466181">
              <w:rPr>
                <w:rFonts w:cstheme="minorHAnsi"/>
                <w:color w:val="666666"/>
              </w:rPr>
              <w:t> (</w:t>
            </w:r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'</w:t>
            </w:r>
            <w:r w:rsidRPr="00466181">
              <w:rPr>
                <w:rFonts w:cstheme="minorHAnsi"/>
                <w:color w:val="666666"/>
              </w:rPr>
              <w:t>)</w:t>
            </w:r>
          </w:p>
          <w:p w14:paraId="153D6AA2" w14:textId="599ADC66" w:rsidR="00466181" w:rsidRPr="00466181" w:rsidRDefault="00466181" w:rsidP="00466181">
            <w:pPr>
              <w:shd w:val="clear" w:color="auto" w:fill="FFFFFF"/>
              <w:spacing w:line="360" w:lineRule="atLeast"/>
              <w:ind w:left="720"/>
              <w:textAlignment w:val="baseline"/>
              <w:rPr>
                <w:rFonts w:cstheme="minorHAnsi"/>
                <w:color w:val="666666"/>
              </w:rPr>
            </w:pPr>
            <w:r>
              <w:rPr>
                <w:rFonts w:cstheme="minorHAnsi"/>
                <w:color w:val="666666"/>
              </w:rPr>
              <w:t xml:space="preserve">In addition to existing symbols: </w:t>
            </w:r>
          </w:p>
          <w:p w14:paraId="22B203AA" w14:textId="77777777" w:rsidR="00466181" w:rsidRPr="00466181" w:rsidRDefault="00466181" w:rsidP="00466181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360" w:lineRule="atLeast"/>
              <w:textAlignment w:val="baseline"/>
              <w:rPr>
                <w:rFonts w:eastAsiaTheme="minorHAnsi" w:cstheme="minorHAnsi"/>
                <w:color w:val="666666"/>
              </w:rPr>
            </w:pPr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&amp;</w:t>
            </w:r>
            <w:proofErr w:type="spellStart"/>
            <w:proofErr w:type="gramStart"/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lt</w:t>
            </w:r>
            <w:proofErr w:type="spellEnd"/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 xml:space="preserve">; </w:t>
            </w:r>
            <w:r w:rsidRPr="00466181">
              <w:rPr>
                <w:rFonts w:cstheme="minorHAnsi"/>
                <w:color w:val="666666"/>
              </w:rPr>
              <w:t> (</w:t>
            </w:r>
            <w:proofErr w:type="gramEnd"/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&lt;</w:t>
            </w:r>
            <w:r w:rsidRPr="00466181">
              <w:rPr>
                <w:rFonts w:cstheme="minorHAnsi"/>
                <w:color w:val="666666"/>
              </w:rPr>
              <w:t>)</w:t>
            </w:r>
          </w:p>
          <w:p w14:paraId="0B0D72EB" w14:textId="77777777" w:rsidR="00466181" w:rsidRPr="00466181" w:rsidRDefault="00466181" w:rsidP="00466181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360" w:lineRule="atLeast"/>
              <w:textAlignment w:val="baseline"/>
              <w:rPr>
                <w:rFonts w:cstheme="minorHAnsi"/>
                <w:color w:val="666666"/>
              </w:rPr>
            </w:pPr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&amp;</w:t>
            </w:r>
            <w:proofErr w:type="spellStart"/>
            <w:proofErr w:type="gramStart"/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gt</w:t>
            </w:r>
            <w:proofErr w:type="spellEnd"/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;</w:t>
            </w:r>
            <w:r w:rsidRPr="00466181">
              <w:rPr>
                <w:rFonts w:cstheme="minorHAnsi"/>
                <w:color w:val="666666"/>
              </w:rPr>
              <w:t xml:space="preserve">   </w:t>
            </w:r>
            <w:proofErr w:type="gramEnd"/>
            <w:r w:rsidRPr="00466181">
              <w:rPr>
                <w:rFonts w:cstheme="minorHAnsi"/>
                <w:color w:val="666666"/>
              </w:rPr>
              <w:t>(</w:t>
            </w:r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&gt;</w:t>
            </w:r>
            <w:r w:rsidRPr="00466181">
              <w:rPr>
                <w:rFonts w:cstheme="minorHAnsi"/>
                <w:color w:val="666666"/>
              </w:rPr>
              <w:t>)</w:t>
            </w:r>
          </w:p>
          <w:p w14:paraId="4608A62D" w14:textId="1A11072C" w:rsidR="003B35AF" w:rsidRPr="00D6633C" w:rsidRDefault="003B35AF" w:rsidP="003B35A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54007" w:rsidRPr="00753D33" w14:paraId="6D084E0B" w14:textId="77777777" w:rsidTr="00EC4A36">
        <w:tc>
          <w:tcPr>
            <w:tcW w:w="1237" w:type="dxa"/>
          </w:tcPr>
          <w:p w14:paraId="38305688" w14:textId="133A6D48" w:rsidR="00D54007" w:rsidRDefault="00D54007" w:rsidP="00EC4A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010</w:t>
            </w:r>
          </w:p>
        </w:tc>
        <w:tc>
          <w:tcPr>
            <w:tcW w:w="1823" w:type="dxa"/>
          </w:tcPr>
          <w:p w14:paraId="31746384" w14:textId="77777777" w:rsidR="00D54007" w:rsidRDefault="00D54007" w:rsidP="00EC4A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78" w:type="dxa"/>
          </w:tcPr>
          <w:p w14:paraId="591A9D10" w14:textId="6FE8C622" w:rsidR="00D54007" w:rsidRPr="00D54007" w:rsidRDefault="00D54007" w:rsidP="003B35AF">
            <w:pPr>
              <w:spacing w:after="0" w:line="240" w:lineRule="auto"/>
              <w:rPr>
                <w:b/>
                <w:bCs/>
                <w:i/>
                <w:iCs/>
                <w:color w:val="0070C0"/>
              </w:rPr>
            </w:pPr>
            <w:r w:rsidRPr="00D54007">
              <w:rPr>
                <w:b/>
                <w:bCs/>
                <w:i/>
                <w:iCs/>
                <w:color w:val="0070C0"/>
              </w:rPr>
              <w:t>Modification to allow Pre-FOC Jeopardies</w:t>
            </w:r>
            <w:r>
              <w:rPr>
                <w:b/>
                <w:bCs/>
                <w:i/>
                <w:iCs/>
                <w:color w:val="0070C0"/>
              </w:rPr>
              <w:t xml:space="preserve"> – Please see information after the matrix regarding LUMEN implementation</w:t>
            </w:r>
            <w:r w:rsidR="00466181">
              <w:rPr>
                <w:b/>
                <w:bCs/>
                <w:i/>
                <w:iCs/>
                <w:color w:val="0070C0"/>
              </w:rPr>
              <w:t xml:space="preserve"> for inflight orders.  </w:t>
            </w:r>
            <w:r>
              <w:rPr>
                <w:b/>
                <w:bCs/>
                <w:i/>
                <w:iCs/>
                <w:color w:val="0070C0"/>
              </w:rPr>
              <w:t xml:space="preserve"> </w:t>
            </w:r>
          </w:p>
        </w:tc>
      </w:tr>
      <w:tr w:rsidR="00F10083" w:rsidRPr="00753D33" w14:paraId="5428A0E4" w14:textId="77777777" w:rsidTr="00EC4A36">
        <w:tc>
          <w:tcPr>
            <w:tcW w:w="1237" w:type="dxa"/>
          </w:tcPr>
          <w:p w14:paraId="41DCF04C" w14:textId="57653263" w:rsidR="00F10083" w:rsidRPr="00E335B8" w:rsidRDefault="000435B2" w:rsidP="00EC4A36">
            <w:pPr>
              <w:rPr>
                <w:rFonts w:cstheme="minorHAnsi"/>
                <w:sz w:val="20"/>
                <w:szCs w:val="20"/>
              </w:rPr>
            </w:pPr>
            <w:r w:rsidRPr="00E335B8">
              <w:rPr>
                <w:rFonts w:cstheme="minorHAnsi"/>
                <w:sz w:val="20"/>
                <w:szCs w:val="20"/>
              </w:rPr>
              <w:t>010</w:t>
            </w:r>
          </w:p>
        </w:tc>
        <w:tc>
          <w:tcPr>
            <w:tcW w:w="1823" w:type="dxa"/>
          </w:tcPr>
          <w:p w14:paraId="53FB5D30" w14:textId="157E074C" w:rsidR="00F10083" w:rsidRPr="00E335B8" w:rsidRDefault="000435B2" w:rsidP="00EC4A36">
            <w:pPr>
              <w:rPr>
                <w:rFonts w:cstheme="minorHAnsi"/>
                <w:sz w:val="20"/>
                <w:szCs w:val="20"/>
              </w:rPr>
            </w:pPr>
            <w:r w:rsidRPr="00E335B8">
              <w:rPr>
                <w:rFonts w:cstheme="minorHAnsi"/>
                <w:sz w:val="20"/>
                <w:szCs w:val="20"/>
              </w:rPr>
              <w:t>12.CNT</w:t>
            </w:r>
          </w:p>
        </w:tc>
        <w:tc>
          <w:tcPr>
            <w:tcW w:w="7578" w:type="dxa"/>
          </w:tcPr>
          <w:p w14:paraId="220DABEA" w14:textId="40075CFE" w:rsidR="00F10083" w:rsidRPr="009B740C" w:rsidRDefault="000435B2" w:rsidP="000435B2">
            <w:pPr>
              <w:spacing w:after="0" w:line="240" w:lineRule="auto"/>
              <w:rPr>
                <w:rFonts w:cstheme="minorHAnsi"/>
                <w:i/>
                <w:iCs/>
                <w:color w:val="0070C0"/>
              </w:rPr>
            </w:pPr>
            <w:r w:rsidRPr="009B740C">
              <w:rPr>
                <w:rFonts w:cstheme="minorHAnsi"/>
                <w:i/>
                <w:iCs/>
                <w:color w:val="0070C0"/>
              </w:rPr>
              <w:t xml:space="preserve">Addition of </w:t>
            </w:r>
            <w:r w:rsidR="009B740C">
              <w:rPr>
                <w:rFonts w:cstheme="minorHAnsi"/>
                <w:i/>
                <w:iCs/>
                <w:color w:val="0070C0"/>
              </w:rPr>
              <w:t>values “</w:t>
            </w:r>
            <w:r w:rsidRPr="009B740C">
              <w:rPr>
                <w:rFonts w:cstheme="minorHAnsi"/>
                <w:i/>
                <w:iCs/>
                <w:color w:val="0070C0"/>
              </w:rPr>
              <w:t>G</w:t>
            </w:r>
            <w:r w:rsidR="009B740C">
              <w:rPr>
                <w:rFonts w:cstheme="minorHAnsi"/>
                <w:i/>
                <w:iCs/>
                <w:color w:val="0070C0"/>
              </w:rPr>
              <w:t>”</w:t>
            </w:r>
            <w:r w:rsidRPr="009B740C">
              <w:rPr>
                <w:rFonts w:cstheme="minorHAnsi"/>
                <w:i/>
                <w:iCs/>
                <w:color w:val="0070C0"/>
              </w:rPr>
              <w:t xml:space="preserve">, </w:t>
            </w:r>
            <w:r w:rsidR="009B740C">
              <w:rPr>
                <w:rFonts w:cstheme="minorHAnsi"/>
                <w:i/>
                <w:iCs/>
                <w:color w:val="0070C0"/>
              </w:rPr>
              <w:t>“</w:t>
            </w:r>
            <w:r w:rsidRPr="009B740C">
              <w:rPr>
                <w:rFonts w:cstheme="minorHAnsi"/>
                <w:i/>
                <w:iCs/>
                <w:color w:val="0070C0"/>
              </w:rPr>
              <w:t>H</w:t>
            </w:r>
            <w:r w:rsidR="009B740C">
              <w:rPr>
                <w:rFonts w:cstheme="minorHAnsi"/>
                <w:i/>
                <w:iCs/>
                <w:color w:val="0070C0"/>
              </w:rPr>
              <w:t>”</w:t>
            </w:r>
            <w:r w:rsidRPr="009B740C">
              <w:rPr>
                <w:rFonts w:cstheme="minorHAnsi"/>
                <w:i/>
                <w:iCs/>
                <w:color w:val="0070C0"/>
              </w:rPr>
              <w:t xml:space="preserve"> to Valid Entries</w:t>
            </w:r>
            <w:r w:rsidR="009B740C" w:rsidRPr="009B740C">
              <w:rPr>
                <w:rFonts w:cstheme="minorHAnsi"/>
                <w:i/>
                <w:iCs/>
                <w:color w:val="0070C0"/>
              </w:rPr>
              <w:t xml:space="preserve"> and addition of Valid Entry Notes 7 and 8. </w:t>
            </w:r>
          </w:p>
          <w:p w14:paraId="388CB392" w14:textId="77777777" w:rsidR="000435B2" w:rsidRPr="00E335B8" w:rsidRDefault="000435B2" w:rsidP="000435B2">
            <w:pPr>
              <w:spacing w:after="0" w:line="240" w:lineRule="auto"/>
              <w:rPr>
                <w:rFonts w:cstheme="minorHAnsi"/>
              </w:rPr>
            </w:pPr>
          </w:p>
          <w:p w14:paraId="7A9571A1" w14:textId="451ACC6E" w:rsidR="000435B2" w:rsidRPr="00E335B8" w:rsidRDefault="000435B2" w:rsidP="000435B2">
            <w:pPr>
              <w:pStyle w:val="Heading3"/>
              <w:outlineLvl w:val="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bookmarkStart w:id="1" w:name="_Toc414534969"/>
            <w:bookmarkStart w:id="2" w:name="_Toc524102649"/>
            <w:r w:rsidRPr="00E335B8">
              <w:rPr>
                <w:rFonts w:asciiTheme="minorHAnsi" w:hAnsiTheme="minorHAnsi" w:cstheme="minorHAnsi"/>
                <w:sz w:val="22"/>
                <w:szCs w:val="22"/>
              </w:rPr>
              <w:t>12.  CNT - Clarification/Notification Type</w:t>
            </w:r>
            <w:bookmarkEnd w:id="1"/>
            <w:bookmarkEnd w:id="2"/>
          </w:p>
          <w:p w14:paraId="52352599" w14:textId="77777777" w:rsidR="000435B2" w:rsidRPr="00E335B8" w:rsidRDefault="000435B2" w:rsidP="000435B2">
            <w:pPr>
              <w:pStyle w:val="NormalASO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5B8">
              <w:rPr>
                <w:rFonts w:asciiTheme="minorHAnsi" w:hAnsiTheme="minorHAnsi" w:cstheme="minorHAnsi"/>
                <w:sz w:val="22"/>
                <w:szCs w:val="22"/>
              </w:rPr>
              <w:t>Identifies the type of clarification/notification being sent to the customer.</w:t>
            </w:r>
          </w:p>
          <w:p w14:paraId="733858B3" w14:textId="77777777" w:rsidR="000435B2" w:rsidRPr="00E335B8" w:rsidRDefault="000435B2" w:rsidP="000435B2">
            <w:pPr>
              <w:spacing w:after="0" w:line="240" w:lineRule="auto"/>
              <w:rPr>
                <w:rFonts w:cstheme="minorHAnsi"/>
              </w:rPr>
            </w:pPr>
          </w:p>
          <w:tbl>
            <w:tblPr>
              <w:tblW w:w="86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450"/>
              <w:gridCol w:w="360"/>
              <w:gridCol w:w="6565"/>
            </w:tblGrid>
            <w:tr w:rsidR="000435B2" w:rsidRPr="00E335B8" w14:paraId="7038853B" w14:textId="77777777" w:rsidTr="000435B2">
              <w:tc>
                <w:tcPr>
                  <w:tcW w:w="8662" w:type="dxa"/>
                  <w:gridSpan w:val="4"/>
                  <w:hideMark/>
                </w:tcPr>
                <w:p w14:paraId="4179943B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VALID ENTRIES:</w:t>
                  </w:r>
                </w:p>
              </w:tc>
            </w:tr>
            <w:tr w:rsidR="000435B2" w:rsidRPr="00E335B8" w14:paraId="4374D255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435C148E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360" w:type="dxa"/>
                  <w:hideMark/>
                </w:tcPr>
                <w:p w14:paraId="3E8D699F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5219D107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ASR (PON) Completion</w:t>
                  </w:r>
                </w:p>
              </w:tc>
            </w:tr>
            <w:tr w:rsidR="000435B2" w:rsidRPr="00E335B8" w14:paraId="2438686A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73B5EA15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360" w:type="dxa"/>
                  <w:hideMark/>
                </w:tcPr>
                <w:p w14:paraId="24E2145A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103389C1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Jeopardy</w:t>
                  </w:r>
                </w:p>
              </w:tc>
            </w:tr>
            <w:tr w:rsidR="000435B2" w:rsidRPr="00E335B8" w14:paraId="3B4216CB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230A5FEF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360" w:type="dxa"/>
                  <w:hideMark/>
                </w:tcPr>
                <w:p w14:paraId="600F1ADB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3E8624E4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Previous C/NR Clear</w:t>
                  </w:r>
                </w:p>
              </w:tc>
            </w:tr>
            <w:tr w:rsidR="000435B2" w:rsidRPr="00E335B8" w14:paraId="66623714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71714D06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360" w:type="dxa"/>
                  <w:hideMark/>
                </w:tcPr>
                <w:p w14:paraId="22A4D2DF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283A79DF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Remarks</w:t>
                  </w:r>
                </w:p>
              </w:tc>
            </w:tr>
            <w:tr w:rsidR="000435B2" w:rsidRPr="00E335B8" w14:paraId="5ECD1F05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60E7D6A7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60" w:type="dxa"/>
                  <w:hideMark/>
                </w:tcPr>
                <w:p w14:paraId="39229D16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7FF1155A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Errors</w:t>
                  </w:r>
                </w:p>
              </w:tc>
            </w:tr>
            <w:tr w:rsidR="000435B2" w:rsidRPr="00E335B8" w14:paraId="369C403B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7E2BF06F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360" w:type="dxa"/>
                  <w:hideMark/>
                </w:tcPr>
                <w:p w14:paraId="76B3C88F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6A220810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Jeopardy with errors</w:t>
                  </w:r>
                </w:p>
              </w:tc>
            </w:tr>
            <w:tr w:rsidR="000435B2" w:rsidRPr="00E335B8" w14:paraId="7838D011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2358D8EC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360" w:type="dxa"/>
                  <w:hideMark/>
                </w:tcPr>
                <w:p w14:paraId="2286A622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22A03C5F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</w:rPr>
                    <w:t xml:space="preserve">Pre-FOC Jeopardy </w:t>
                  </w:r>
                </w:p>
              </w:tc>
            </w:tr>
            <w:tr w:rsidR="000435B2" w:rsidRPr="00E335B8" w14:paraId="1D56DDEC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369307EC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360" w:type="dxa"/>
                  <w:hideMark/>
                </w:tcPr>
                <w:p w14:paraId="41A3CA5E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</w:rPr>
                    <w:t xml:space="preserve">= </w:t>
                  </w:r>
                </w:p>
              </w:tc>
              <w:tc>
                <w:tcPr>
                  <w:tcW w:w="6570" w:type="dxa"/>
                  <w:hideMark/>
                </w:tcPr>
                <w:p w14:paraId="439745A0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</w:rPr>
                    <w:t>Pre-FOC Jeopardy with errors</w:t>
                  </w:r>
                </w:p>
              </w:tc>
            </w:tr>
            <w:tr w:rsidR="000435B2" w:rsidRPr="00E335B8" w14:paraId="5DB588AA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288C7590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360" w:type="dxa"/>
                  <w:hideMark/>
                </w:tcPr>
                <w:p w14:paraId="2F86CC16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6150395D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Provider Initiated Cancellation</w:t>
                  </w:r>
                </w:p>
              </w:tc>
            </w:tr>
            <w:tr w:rsidR="000435B2" w:rsidRPr="00E335B8" w14:paraId="43A3CAC5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1848C078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360" w:type="dxa"/>
                  <w:hideMark/>
                </w:tcPr>
                <w:p w14:paraId="3A0C85D9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0D77AFE6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Address Modification</w:t>
                  </w:r>
                </w:p>
              </w:tc>
            </w:tr>
          </w:tbl>
          <w:p w14:paraId="17CA0291" w14:textId="77777777" w:rsidR="000435B2" w:rsidRPr="00E335B8" w:rsidRDefault="000435B2" w:rsidP="000435B2">
            <w:pPr>
              <w:spacing w:after="0" w:line="240" w:lineRule="auto"/>
              <w:rPr>
                <w:rFonts w:cstheme="minorHAnsi"/>
              </w:rPr>
            </w:pPr>
          </w:p>
          <w:p w14:paraId="1296E6C1" w14:textId="77777777" w:rsidR="009B740C" w:rsidRDefault="009B740C" w:rsidP="009B740C">
            <w:pPr>
              <w:ind w:left="720"/>
              <w:rPr>
                <w:rFonts w:eastAsia="Times New Roman" w:cs="Arial"/>
              </w:rPr>
            </w:pPr>
            <w:r>
              <w:rPr>
                <w:b/>
              </w:rPr>
              <w:t xml:space="preserve">NOTE 1: </w:t>
            </w:r>
            <w:r>
              <w:rPr>
                <w:rFonts w:cs="Arial"/>
              </w:rPr>
              <w:t>An entry of “A” indicates the following:</w:t>
            </w:r>
          </w:p>
          <w:p w14:paraId="421F250C" w14:textId="77777777" w:rsidR="009B740C" w:rsidRDefault="009B740C" w:rsidP="009B740C">
            <w:pPr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Arial"/>
              </w:rPr>
              <w:t>ASR (PON) has been marked as completed by the provider, service has been activated and billing may commence.</w:t>
            </w:r>
          </w:p>
          <w:p w14:paraId="3FDD1A45" w14:textId="77777777" w:rsidR="009B740C" w:rsidRDefault="009B740C" w:rsidP="009B740C">
            <w:pPr>
              <w:numPr>
                <w:ilvl w:val="0"/>
                <w:numId w:val="29"/>
              </w:numPr>
              <w:spacing w:after="0" w:line="240" w:lineRule="auto"/>
              <w:rPr>
                <w:b/>
              </w:rPr>
            </w:pPr>
            <w:r>
              <w:rPr>
                <w:rFonts w:cs="Arial"/>
              </w:rPr>
              <w:t>The ASC-EC defined common completion date should be used by all EC’s involved in a MULTI-EC ordering scenario.</w:t>
            </w:r>
          </w:p>
          <w:p w14:paraId="2045ABE6" w14:textId="77777777" w:rsidR="009B740C" w:rsidRDefault="009B740C" w:rsidP="009B740C">
            <w:pPr>
              <w:numPr>
                <w:ilvl w:val="0"/>
                <w:numId w:val="29"/>
              </w:numPr>
              <w:spacing w:after="0" w:line="240" w:lineRule="auto"/>
              <w:rPr>
                <w:b/>
              </w:rPr>
            </w:pPr>
            <w:r>
              <w:rPr>
                <w:rFonts w:cs="Arial"/>
              </w:rPr>
              <w:t xml:space="preserve">In a MULTI-EC ordering scenario, all </w:t>
            </w:r>
            <w:proofErr w:type="gramStart"/>
            <w:r>
              <w:rPr>
                <w:rFonts w:cs="Arial"/>
              </w:rPr>
              <w:t>EC’s</w:t>
            </w:r>
            <w:proofErr w:type="gramEnd"/>
            <w:r>
              <w:rPr>
                <w:rFonts w:cs="Arial"/>
              </w:rPr>
              <w:t xml:space="preserve"> involved should follow the completion coordination process defined in ATIS-0404120 Multiple Exchange Carriers Ordering and Design (MECOD); ASSUMPTIONS and COMPLETION sections.</w:t>
            </w:r>
          </w:p>
          <w:p w14:paraId="2BE0606F" w14:textId="77777777" w:rsidR="009B740C" w:rsidRDefault="009B740C" w:rsidP="009B740C">
            <w:pPr>
              <w:ind w:left="720"/>
              <w:rPr>
                <w:rFonts w:cs="Arial"/>
              </w:rPr>
            </w:pPr>
            <w:r>
              <w:rPr>
                <w:b/>
              </w:rPr>
              <w:t xml:space="preserve">NOTE 2: </w:t>
            </w:r>
            <w:r>
              <w:rPr>
                <w:rFonts w:cs="Arial"/>
              </w:rPr>
              <w:t>An entry of “B” indicates the ASR (PON) has a condition which impacts the critical date(s).  The use of “B” is only applicable after the ASR has been confirmed.</w:t>
            </w:r>
          </w:p>
          <w:p w14:paraId="59E05FE9" w14:textId="77777777" w:rsidR="009B740C" w:rsidRDefault="009B740C" w:rsidP="009B740C">
            <w:pPr>
              <w:ind w:left="720"/>
              <w:rPr>
                <w:rFonts w:cs="Arial"/>
              </w:rPr>
            </w:pPr>
            <w:r>
              <w:rPr>
                <w:b/>
              </w:rPr>
              <w:t xml:space="preserve">NOTE 3: </w:t>
            </w:r>
            <w:r>
              <w:rPr>
                <w:rFonts w:cs="Arial"/>
              </w:rPr>
              <w:t>An entry of “C” indicates that all the conditions that would have required clarification from the customer have been satisfied. This could have occurred as the result of a SUP being received or through verbal negotiations between the customer and provider that determined a SUP is not required. The use of “C” is only applicable after a previous C/NR has been issued with an entry in the SUPR field.</w:t>
            </w:r>
          </w:p>
          <w:p w14:paraId="0FCC4277" w14:textId="77777777" w:rsidR="009B740C" w:rsidRDefault="009B740C" w:rsidP="009B740C">
            <w:pPr>
              <w:ind w:left="720"/>
              <w:rPr>
                <w:rFonts w:cs="Arial"/>
              </w:rPr>
            </w:pPr>
            <w:r>
              <w:rPr>
                <w:b/>
              </w:rPr>
              <w:t xml:space="preserve">NOTE 4: </w:t>
            </w:r>
            <w:r>
              <w:rPr>
                <w:rFonts w:cs="Arial"/>
              </w:rPr>
              <w:t>An entry of “D” indicates that the C/NR is informational only and no response is required.</w:t>
            </w:r>
          </w:p>
          <w:p w14:paraId="2A1E9A63" w14:textId="77777777" w:rsidR="009B740C" w:rsidRDefault="009B740C" w:rsidP="009B740C">
            <w:pPr>
              <w:ind w:left="720"/>
              <w:rPr>
                <w:rFonts w:cs="Arial"/>
              </w:rPr>
            </w:pPr>
            <w:r>
              <w:rPr>
                <w:b/>
              </w:rPr>
              <w:t xml:space="preserve">NOTE 5: </w:t>
            </w:r>
            <w:r>
              <w:rPr>
                <w:rFonts w:cs="Arial"/>
              </w:rPr>
              <w:t>An entry of “E” indicates that one or more ERROR TAG fields are populated on the C/NR.</w:t>
            </w:r>
          </w:p>
          <w:p w14:paraId="7315828E" w14:textId="77777777" w:rsidR="009B740C" w:rsidRDefault="009B740C" w:rsidP="009B740C">
            <w:pPr>
              <w:ind w:left="720"/>
              <w:rPr>
                <w:rFonts w:cs="Arial"/>
              </w:rPr>
            </w:pPr>
            <w:r>
              <w:rPr>
                <w:b/>
              </w:rPr>
              <w:t xml:space="preserve">NOTE 6: </w:t>
            </w:r>
            <w:r>
              <w:rPr>
                <w:rFonts w:cs="Arial"/>
              </w:rPr>
              <w:t>An entry of “F” indicates the combination of “B” and “E” conditions.</w:t>
            </w:r>
          </w:p>
          <w:p w14:paraId="120A207A" w14:textId="77777777" w:rsidR="000435B2" w:rsidRPr="00E335B8" w:rsidRDefault="000435B2" w:rsidP="000435B2">
            <w:pPr>
              <w:spacing w:after="0" w:line="240" w:lineRule="auto"/>
              <w:rPr>
                <w:rFonts w:cstheme="minorHAnsi"/>
              </w:rPr>
            </w:pPr>
          </w:p>
          <w:p w14:paraId="36FD98E5" w14:textId="77777777" w:rsidR="000435B2" w:rsidRPr="00E335B8" w:rsidRDefault="000435B2" w:rsidP="000435B2">
            <w:pPr>
              <w:ind w:left="720"/>
              <w:rPr>
                <w:rFonts w:eastAsia="Times New Roman" w:cstheme="minorHAnsi"/>
                <w:bCs/>
                <w:color w:val="0070C0"/>
              </w:rPr>
            </w:pPr>
            <w:r w:rsidRPr="00E335B8">
              <w:rPr>
                <w:rFonts w:cstheme="minorHAnsi"/>
                <w:bCs/>
                <w:color w:val="0070C0"/>
              </w:rPr>
              <w:t xml:space="preserve">NOTE 7:  An entry of “G” indicates the ASR (PON) has a condition which impacts the return of a FOC.   </w:t>
            </w:r>
            <w:r w:rsidRPr="00642DF9">
              <w:rPr>
                <w:rFonts w:cstheme="minorHAnsi"/>
                <w:b/>
                <w:color w:val="0070C0"/>
                <w:u w:val="single"/>
              </w:rPr>
              <w:t>The use of “G” is only applicable prior to the first confirmation for the ASR.</w:t>
            </w:r>
            <w:r w:rsidRPr="00E335B8">
              <w:rPr>
                <w:rFonts w:cstheme="minorHAnsi"/>
                <w:bCs/>
                <w:color w:val="0070C0"/>
              </w:rPr>
              <w:t xml:space="preserve"> </w:t>
            </w:r>
          </w:p>
          <w:p w14:paraId="39DF5A31" w14:textId="77777777" w:rsidR="000435B2" w:rsidRPr="00E335B8" w:rsidRDefault="000435B2" w:rsidP="000435B2">
            <w:pPr>
              <w:ind w:left="720"/>
              <w:rPr>
                <w:rFonts w:cstheme="minorHAnsi"/>
                <w:bCs/>
                <w:color w:val="0070C0"/>
              </w:rPr>
            </w:pPr>
            <w:r w:rsidRPr="00E335B8">
              <w:rPr>
                <w:rFonts w:cstheme="minorHAnsi"/>
                <w:bCs/>
                <w:color w:val="0070C0"/>
              </w:rPr>
              <w:t>NOTE 8: An entry of “H” indicates the combination of “G” and “E” conditions.</w:t>
            </w:r>
          </w:p>
          <w:p w14:paraId="6D32E283" w14:textId="0764FBFF" w:rsidR="000435B2" w:rsidRPr="00E335B8" w:rsidRDefault="000435B2" w:rsidP="000435B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10083" w:rsidRPr="00753D33" w14:paraId="44FE764D" w14:textId="77777777" w:rsidTr="00D6633C">
        <w:trPr>
          <w:trHeight w:val="4274"/>
        </w:trPr>
        <w:tc>
          <w:tcPr>
            <w:tcW w:w="1237" w:type="dxa"/>
          </w:tcPr>
          <w:p w14:paraId="1A76D807" w14:textId="61A706DA" w:rsidR="00F10083" w:rsidRPr="00E335B8" w:rsidRDefault="000435B2" w:rsidP="00EC4A36">
            <w:pPr>
              <w:rPr>
                <w:rFonts w:cstheme="minorHAnsi"/>
                <w:sz w:val="20"/>
                <w:szCs w:val="20"/>
              </w:rPr>
            </w:pPr>
            <w:r w:rsidRPr="00E335B8">
              <w:rPr>
                <w:rFonts w:cstheme="minorHAnsi"/>
                <w:sz w:val="20"/>
                <w:szCs w:val="20"/>
              </w:rPr>
              <w:t>010</w:t>
            </w:r>
          </w:p>
        </w:tc>
        <w:tc>
          <w:tcPr>
            <w:tcW w:w="1823" w:type="dxa"/>
          </w:tcPr>
          <w:p w14:paraId="5C4A3A6A" w14:textId="5E4F1C6B" w:rsidR="00F10083" w:rsidRPr="00E335B8" w:rsidRDefault="000435B2" w:rsidP="00EC4A36">
            <w:pPr>
              <w:rPr>
                <w:rFonts w:cstheme="minorHAnsi"/>
                <w:sz w:val="20"/>
                <w:szCs w:val="20"/>
              </w:rPr>
            </w:pPr>
            <w:r w:rsidRPr="00E335B8">
              <w:rPr>
                <w:rFonts w:cstheme="minorHAnsi"/>
                <w:sz w:val="20"/>
                <w:szCs w:val="20"/>
              </w:rPr>
              <w:t>19. SUPI</w:t>
            </w:r>
          </w:p>
        </w:tc>
        <w:tc>
          <w:tcPr>
            <w:tcW w:w="7578" w:type="dxa"/>
          </w:tcPr>
          <w:p w14:paraId="4B3C53C5" w14:textId="314FB0D8" w:rsidR="00F10083" w:rsidRPr="009B740C" w:rsidRDefault="000435B2" w:rsidP="000435B2">
            <w:pPr>
              <w:spacing w:after="0" w:line="240" w:lineRule="auto"/>
              <w:rPr>
                <w:rFonts w:cstheme="minorHAnsi"/>
                <w:i/>
                <w:iCs/>
                <w:color w:val="0070C0"/>
              </w:rPr>
            </w:pPr>
            <w:r w:rsidRPr="009B740C">
              <w:rPr>
                <w:rFonts w:cstheme="minorHAnsi"/>
                <w:i/>
                <w:iCs/>
                <w:color w:val="0070C0"/>
              </w:rPr>
              <w:t>Modification of Usage Note 1</w:t>
            </w:r>
          </w:p>
          <w:p w14:paraId="12EB5F43" w14:textId="77777777" w:rsidR="00466181" w:rsidRDefault="00466181" w:rsidP="000435B2">
            <w:pPr>
              <w:spacing w:after="0" w:line="240" w:lineRule="auto"/>
              <w:rPr>
                <w:rFonts w:cstheme="minorHAnsi"/>
              </w:rPr>
            </w:pPr>
          </w:p>
          <w:p w14:paraId="4F1654BC" w14:textId="7C316EB6" w:rsidR="000435B2" w:rsidRPr="00E335B8" w:rsidRDefault="00F45336" w:rsidP="000435B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19.  SUPI</w:t>
            </w:r>
            <w:r w:rsidR="00466181">
              <w:rPr>
                <w:rFonts w:cstheme="minorHAnsi"/>
              </w:rPr>
              <w:t xml:space="preserve"> </w:t>
            </w:r>
            <w:proofErr w:type="gramStart"/>
            <w:r w:rsidR="0046618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 S</w:t>
            </w:r>
            <w:r w:rsidR="00466181">
              <w:rPr>
                <w:rFonts w:cstheme="minorHAnsi"/>
              </w:rPr>
              <w:t>UP</w:t>
            </w:r>
            <w:proofErr w:type="gramEnd"/>
            <w:r>
              <w:rPr>
                <w:rFonts w:cstheme="minorHAnsi"/>
              </w:rPr>
              <w:t xml:space="preserve"> Indicator</w:t>
            </w:r>
          </w:p>
          <w:p w14:paraId="69C54D28" w14:textId="77777777" w:rsidR="000435B2" w:rsidRPr="00E335B8" w:rsidRDefault="000435B2" w:rsidP="000435B2">
            <w:pPr>
              <w:pStyle w:val="NormalASOG"/>
              <w:rPr>
                <w:rFonts w:asciiTheme="minorHAnsi" w:hAnsiTheme="minorHAnsi" w:cstheme="minorHAnsi"/>
                <w:sz w:val="22"/>
                <w:szCs w:val="22"/>
              </w:rPr>
            </w:pPr>
            <w:r w:rsidRPr="00E335B8">
              <w:rPr>
                <w:rFonts w:asciiTheme="minorHAnsi" w:hAnsiTheme="minorHAnsi" w:cstheme="minorHAnsi"/>
                <w:sz w:val="22"/>
                <w:szCs w:val="22"/>
              </w:rPr>
              <w:t>Identifies that the provider expects a supplement ASR to correct the condition identified at the line level on the C/NR.</w:t>
            </w:r>
          </w:p>
          <w:tbl>
            <w:tblPr>
              <w:tblW w:w="86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450"/>
              <w:gridCol w:w="360"/>
              <w:gridCol w:w="6565"/>
            </w:tblGrid>
            <w:tr w:rsidR="000435B2" w:rsidRPr="00E335B8" w14:paraId="68D0F822" w14:textId="77777777" w:rsidTr="000435B2">
              <w:tc>
                <w:tcPr>
                  <w:tcW w:w="8662" w:type="dxa"/>
                  <w:gridSpan w:val="4"/>
                  <w:hideMark/>
                </w:tcPr>
                <w:p w14:paraId="512DE5AD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VALID ENTRIES:</w:t>
                  </w:r>
                </w:p>
              </w:tc>
            </w:tr>
            <w:tr w:rsidR="000435B2" w:rsidRPr="00E335B8" w14:paraId="3C5B619A" w14:textId="77777777" w:rsidTr="000435B2">
              <w:trPr>
                <w:gridBefore w:val="1"/>
                <w:wBefore w:w="1282" w:type="dxa"/>
              </w:trPr>
              <w:tc>
                <w:tcPr>
                  <w:tcW w:w="450" w:type="dxa"/>
                  <w:hideMark/>
                </w:tcPr>
                <w:p w14:paraId="33CC2BD6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360" w:type="dxa"/>
                  <w:hideMark/>
                </w:tcPr>
                <w:p w14:paraId="3ABA7168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1D9D7342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18BC1462" w14:textId="77777777" w:rsidR="000435B2" w:rsidRPr="00E335B8" w:rsidRDefault="000435B2" w:rsidP="000435B2">
            <w:pPr>
              <w:pStyle w:val="NormalASO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66B95D" w14:textId="77777777" w:rsidR="000435B2" w:rsidRPr="00E335B8" w:rsidRDefault="000435B2" w:rsidP="000435B2">
            <w:pPr>
              <w:ind w:left="720"/>
              <w:rPr>
                <w:rFonts w:cstheme="minorHAnsi"/>
              </w:rPr>
            </w:pPr>
            <w:r w:rsidRPr="00E335B8">
              <w:rPr>
                <w:rFonts w:cstheme="minorHAnsi"/>
                <w:b/>
              </w:rPr>
              <w:t xml:space="preserve">NOTE 1: </w:t>
            </w:r>
            <w:r w:rsidRPr="00E335B8">
              <w:rPr>
                <w:rFonts w:cstheme="minorHAnsi"/>
              </w:rPr>
              <w:t>If this field is blank, the clarification/notification for this line item is informational only.</w:t>
            </w:r>
          </w:p>
          <w:p w14:paraId="39E1DC62" w14:textId="77777777" w:rsidR="000435B2" w:rsidRPr="00E335B8" w:rsidRDefault="000435B2" w:rsidP="000435B2">
            <w:pPr>
              <w:rPr>
                <w:rFonts w:cstheme="minorHAnsi"/>
                <w:b/>
              </w:rPr>
            </w:pPr>
            <w:r w:rsidRPr="00E335B8">
              <w:rPr>
                <w:rFonts w:cstheme="minorHAnsi"/>
                <w:b/>
              </w:rPr>
              <w:t>USAGE:</w:t>
            </w:r>
            <w:r w:rsidRPr="00E335B8">
              <w:rPr>
                <w:rFonts w:cstheme="minorHAnsi"/>
              </w:rPr>
              <w:t xml:space="preserve"> This field is </w:t>
            </w:r>
            <w:r w:rsidRPr="00E335B8">
              <w:rPr>
                <w:rFonts w:cstheme="minorHAnsi"/>
                <w:i/>
              </w:rPr>
              <w:t>conditional</w:t>
            </w:r>
            <w:r w:rsidRPr="00E335B8">
              <w:rPr>
                <w:rFonts w:cstheme="minorHAnsi"/>
              </w:rPr>
              <w:t>.</w:t>
            </w:r>
          </w:p>
          <w:p w14:paraId="28D06CE7" w14:textId="77777777" w:rsidR="000435B2" w:rsidRPr="00E335B8" w:rsidRDefault="000435B2" w:rsidP="000435B2">
            <w:pPr>
              <w:ind w:left="720"/>
              <w:rPr>
                <w:rFonts w:cstheme="minorHAnsi"/>
              </w:rPr>
            </w:pPr>
            <w:r w:rsidRPr="00E335B8">
              <w:rPr>
                <w:rFonts w:cstheme="minorHAnsi"/>
                <w:b/>
              </w:rPr>
              <w:t xml:space="preserve">NOTE 1: </w:t>
            </w:r>
            <w:r w:rsidRPr="00E335B8">
              <w:rPr>
                <w:rFonts w:cstheme="minorHAnsi"/>
              </w:rPr>
              <w:t xml:space="preserve">Optional when the CNT field is “B”, “E”, “F”, </w:t>
            </w:r>
            <w:r w:rsidRPr="00E335B8">
              <w:rPr>
                <w:rFonts w:cstheme="minorHAnsi"/>
                <w:b/>
                <w:bCs/>
                <w:color w:val="0070C0"/>
              </w:rPr>
              <w:t>“G”, “H”,</w:t>
            </w:r>
            <w:r w:rsidRPr="00E335B8">
              <w:rPr>
                <w:rFonts w:cstheme="minorHAnsi"/>
                <w:color w:val="0070C0"/>
              </w:rPr>
              <w:t xml:space="preserve"> </w:t>
            </w:r>
            <w:r w:rsidRPr="00E335B8">
              <w:rPr>
                <w:rFonts w:cstheme="minorHAnsi"/>
              </w:rPr>
              <w:t>or “L” otherwise prohibited.</w:t>
            </w:r>
          </w:p>
          <w:p w14:paraId="26AFE55A" w14:textId="6466995C" w:rsidR="000435B2" w:rsidRPr="00E335B8" w:rsidRDefault="000435B2" w:rsidP="000435B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0508" w:rsidRPr="00753D33" w14:paraId="03AF9449" w14:textId="77777777" w:rsidTr="00EC4A36">
        <w:tc>
          <w:tcPr>
            <w:tcW w:w="1237" w:type="dxa"/>
          </w:tcPr>
          <w:p w14:paraId="53CD96EA" w14:textId="37CA0472" w:rsidR="00B50508" w:rsidRPr="00E335B8" w:rsidRDefault="000435B2" w:rsidP="00EC4A36">
            <w:pPr>
              <w:rPr>
                <w:rFonts w:cstheme="minorHAnsi"/>
                <w:sz w:val="20"/>
                <w:szCs w:val="20"/>
              </w:rPr>
            </w:pPr>
            <w:r w:rsidRPr="00E335B8">
              <w:rPr>
                <w:rFonts w:cstheme="minorHAnsi"/>
                <w:sz w:val="20"/>
                <w:szCs w:val="20"/>
              </w:rPr>
              <w:t>010</w:t>
            </w:r>
          </w:p>
        </w:tc>
        <w:tc>
          <w:tcPr>
            <w:tcW w:w="1823" w:type="dxa"/>
          </w:tcPr>
          <w:p w14:paraId="1123609C" w14:textId="255D7634" w:rsidR="00B50508" w:rsidRPr="00E335B8" w:rsidRDefault="000435B2" w:rsidP="00EC4A36">
            <w:pPr>
              <w:rPr>
                <w:rFonts w:cstheme="minorHAnsi"/>
                <w:sz w:val="20"/>
                <w:szCs w:val="20"/>
              </w:rPr>
            </w:pPr>
            <w:r w:rsidRPr="00E335B8">
              <w:rPr>
                <w:rFonts w:cstheme="minorHAnsi"/>
                <w:sz w:val="20"/>
                <w:szCs w:val="20"/>
              </w:rPr>
              <w:t>20. RCODE</w:t>
            </w:r>
          </w:p>
        </w:tc>
        <w:tc>
          <w:tcPr>
            <w:tcW w:w="7578" w:type="dxa"/>
          </w:tcPr>
          <w:p w14:paraId="34D4B3E5" w14:textId="77777777" w:rsidR="00B50508" w:rsidRPr="009B740C" w:rsidRDefault="000435B2" w:rsidP="002E5138">
            <w:pPr>
              <w:rPr>
                <w:rFonts w:cstheme="minorHAnsi"/>
                <w:i/>
                <w:iCs/>
                <w:color w:val="0070C0"/>
              </w:rPr>
            </w:pPr>
            <w:r w:rsidRPr="009B740C">
              <w:rPr>
                <w:rFonts w:cstheme="minorHAnsi"/>
                <w:i/>
                <w:iCs/>
                <w:color w:val="0070C0"/>
              </w:rPr>
              <w:t>Modification of Usage Note 1</w:t>
            </w:r>
          </w:p>
          <w:p w14:paraId="0A51AA6C" w14:textId="603FA135" w:rsidR="000435B2" w:rsidRPr="00E335B8" w:rsidRDefault="00F45336" w:rsidP="000435B2">
            <w:pPr>
              <w:pStyle w:val="Heading3"/>
              <w:outlineLvl w:val="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bookmarkStart w:id="3" w:name="_Toc414534977"/>
            <w:bookmarkStart w:id="4" w:name="_Toc524102657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20.  </w:t>
            </w:r>
            <w:r w:rsidR="000435B2" w:rsidRPr="00E335B8">
              <w:rPr>
                <w:rFonts w:asciiTheme="minorHAnsi" w:hAnsiTheme="minorHAnsi" w:cstheme="minorHAnsi"/>
                <w:sz w:val="22"/>
                <w:szCs w:val="22"/>
              </w:rPr>
              <w:t>RCODE – Reason Code</w:t>
            </w:r>
            <w:bookmarkEnd w:id="3"/>
            <w:bookmarkEnd w:id="4"/>
          </w:p>
          <w:p w14:paraId="7A03993E" w14:textId="77777777" w:rsidR="000435B2" w:rsidRPr="00E335B8" w:rsidRDefault="000435B2" w:rsidP="000435B2">
            <w:pPr>
              <w:pStyle w:val="HeadDateASOG"/>
              <w:rPr>
                <w:rFonts w:asciiTheme="minorHAnsi" w:hAnsiTheme="minorHAnsi" w:cstheme="minorHAnsi"/>
                <w:sz w:val="22"/>
                <w:szCs w:val="22"/>
              </w:rPr>
            </w:pPr>
            <w:r w:rsidRPr="00E335B8">
              <w:rPr>
                <w:rFonts w:asciiTheme="minorHAnsi" w:hAnsiTheme="minorHAnsi" w:cstheme="minorHAnsi"/>
                <w:sz w:val="22"/>
                <w:szCs w:val="22"/>
              </w:rPr>
              <w:t>Identifies the reason the provider has placed this service request in jeopardy status.</w:t>
            </w:r>
          </w:p>
          <w:p w14:paraId="771ADF93" w14:textId="77777777" w:rsidR="000435B2" w:rsidRPr="00E335B8" w:rsidRDefault="000435B2" w:rsidP="000435B2">
            <w:pPr>
              <w:ind w:left="720"/>
              <w:rPr>
                <w:rFonts w:cstheme="minorHAnsi"/>
              </w:rPr>
            </w:pPr>
            <w:r w:rsidRPr="00E335B8">
              <w:rPr>
                <w:rFonts w:cstheme="minorHAnsi"/>
                <w:b/>
              </w:rPr>
              <w:t xml:space="preserve">NOTE 1: </w:t>
            </w:r>
            <w:r w:rsidRPr="00E335B8">
              <w:rPr>
                <w:rFonts w:cstheme="minorHAnsi"/>
              </w:rPr>
              <w:t>This indicates the ASR (PON) has a condition that impacts the critical date(s) and is only applicable after the ASR has been confirmed.</w:t>
            </w:r>
          </w:p>
          <w:tbl>
            <w:tblPr>
              <w:tblW w:w="86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450"/>
              <w:gridCol w:w="360"/>
              <w:gridCol w:w="6565"/>
            </w:tblGrid>
            <w:tr w:rsidR="000435B2" w:rsidRPr="00E335B8" w14:paraId="62569413" w14:textId="77777777" w:rsidTr="000435B2">
              <w:tc>
                <w:tcPr>
                  <w:tcW w:w="8662" w:type="dxa"/>
                  <w:gridSpan w:val="4"/>
                  <w:hideMark/>
                </w:tcPr>
                <w:p w14:paraId="5CFFF493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VALID ENTRIES:</w:t>
                  </w:r>
                </w:p>
              </w:tc>
            </w:tr>
            <w:tr w:rsidR="000435B2" w:rsidRPr="00E335B8" w14:paraId="6FB99B60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2E7B9397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1A</w:t>
                  </w:r>
                </w:p>
              </w:tc>
              <w:tc>
                <w:tcPr>
                  <w:tcW w:w="360" w:type="dxa"/>
                  <w:hideMark/>
                </w:tcPr>
                <w:p w14:paraId="55D9D6E7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21164DF6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 Office Facility Shortage</w:t>
                  </w:r>
                </w:p>
              </w:tc>
            </w:tr>
            <w:tr w:rsidR="000435B2" w:rsidRPr="00E335B8" w14:paraId="73489C62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3E8A96E1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1B</w:t>
                  </w:r>
                </w:p>
              </w:tc>
              <w:tc>
                <w:tcPr>
                  <w:tcW w:w="360" w:type="dxa"/>
                  <w:hideMark/>
                </w:tcPr>
                <w:p w14:paraId="65CB09E1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3946FC44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Scheduling/</w:t>
                  </w:r>
                  <w:proofErr w:type="gramStart"/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Work Load</w:t>
                  </w:r>
                  <w:proofErr w:type="gramEnd"/>
                </w:p>
              </w:tc>
            </w:tr>
            <w:tr w:rsidR="000435B2" w:rsidRPr="00E335B8" w14:paraId="170AC1F6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43A45A15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1C</w:t>
                  </w:r>
                </w:p>
              </w:tc>
              <w:tc>
                <w:tcPr>
                  <w:tcW w:w="360" w:type="dxa"/>
                  <w:hideMark/>
                </w:tcPr>
                <w:p w14:paraId="1320A27C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66063421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Customer Not Ready</w:t>
                  </w:r>
                </w:p>
              </w:tc>
            </w:tr>
            <w:tr w:rsidR="000435B2" w:rsidRPr="00E335B8" w14:paraId="4557BE13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12BFCA65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1D</w:t>
                  </w:r>
                </w:p>
              </w:tc>
              <w:tc>
                <w:tcPr>
                  <w:tcW w:w="360" w:type="dxa"/>
                  <w:hideMark/>
                </w:tcPr>
                <w:p w14:paraId="62C437DE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1CA01BD0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 Loop Available</w:t>
                  </w:r>
                </w:p>
              </w:tc>
            </w:tr>
            <w:tr w:rsidR="000435B2" w:rsidRPr="00E335B8" w14:paraId="44A373D4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5223ABA1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1E</w:t>
                  </w:r>
                </w:p>
              </w:tc>
              <w:tc>
                <w:tcPr>
                  <w:tcW w:w="360" w:type="dxa"/>
                  <w:hideMark/>
                </w:tcPr>
                <w:p w14:paraId="3D7C1954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5CE47D30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End User Not Ready</w:t>
                  </w:r>
                </w:p>
              </w:tc>
            </w:tr>
            <w:tr w:rsidR="000435B2" w:rsidRPr="00E335B8" w14:paraId="1A29C19A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4D9F5A3E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1F</w:t>
                  </w:r>
                </w:p>
              </w:tc>
              <w:tc>
                <w:tcPr>
                  <w:tcW w:w="360" w:type="dxa"/>
                  <w:hideMark/>
                </w:tcPr>
                <w:p w14:paraId="7555C846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76F117C4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Provider Missed Appointment</w:t>
                  </w:r>
                </w:p>
              </w:tc>
            </w:tr>
            <w:tr w:rsidR="000435B2" w:rsidRPr="00E335B8" w14:paraId="0702693C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4EF4ED1D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1G</w:t>
                  </w:r>
                </w:p>
              </w:tc>
              <w:tc>
                <w:tcPr>
                  <w:tcW w:w="360" w:type="dxa"/>
                  <w:hideMark/>
                </w:tcPr>
                <w:p w14:paraId="253945E8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213B9CFD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 Access to End User Premise</w:t>
                  </w:r>
                </w:p>
              </w:tc>
            </w:tr>
            <w:tr w:rsidR="000435B2" w:rsidRPr="00E335B8" w14:paraId="6B9EB059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028BD5AD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1H</w:t>
                  </w:r>
                </w:p>
              </w:tc>
              <w:tc>
                <w:tcPr>
                  <w:tcW w:w="360" w:type="dxa"/>
                  <w:hideMark/>
                </w:tcPr>
                <w:p w14:paraId="49910E23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5CD828B6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Central Office Freeze</w:t>
                  </w:r>
                </w:p>
              </w:tc>
            </w:tr>
            <w:tr w:rsidR="000435B2" w:rsidRPr="00E335B8" w14:paraId="067A0DD4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41E02531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1J</w:t>
                  </w:r>
                </w:p>
              </w:tc>
              <w:tc>
                <w:tcPr>
                  <w:tcW w:w="360" w:type="dxa"/>
                  <w:hideMark/>
                </w:tcPr>
                <w:p w14:paraId="4EFFA124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3FD5C1D6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Special Construction</w:t>
                  </w:r>
                </w:p>
              </w:tc>
            </w:tr>
            <w:tr w:rsidR="000435B2" w:rsidRPr="00E335B8" w14:paraId="28842753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137144C0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1K</w:t>
                  </w:r>
                </w:p>
              </w:tc>
              <w:tc>
                <w:tcPr>
                  <w:tcW w:w="360" w:type="dxa"/>
                  <w:hideMark/>
                </w:tcPr>
                <w:p w14:paraId="7B673F35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42F0BCB4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Natural Disaster (Flood, etc.)</w:t>
                  </w:r>
                </w:p>
              </w:tc>
            </w:tr>
            <w:tr w:rsidR="000435B2" w:rsidRPr="00E335B8" w14:paraId="35804697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70E55E23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1L</w:t>
                  </w:r>
                </w:p>
              </w:tc>
              <w:tc>
                <w:tcPr>
                  <w:tcW w:w="360" w:type="dxa"/>
                  <w:hideMark/>
                </w:tcPr>
                <w:p w14:paraId="2A594D64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3EFAC5BA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Frame Due Time Cannot Be Met</w:t>
                  </w:r>
                </w:p>
              </w:tc>
            </w:tr>
            <w:tr w:rsidR="000435B2" w:rsidRPr="00E335B8" w14:paraId="73966599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1520D66A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1M</w:t>
                  </w:r>
                </w:p>
              </w:tc>
              <w:tc>
                <w:tcPr>
                  <w:tcW w:w="360" w:type="dxa"/>
                  <w:hideMark/>
                </w:tcPr>
                <w:p w14:paraId="27CE65E5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3427BD50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Due Date Cannot Be Met</w:t>
                  </w:r>
                </w:p>
              </w:tc>
            </w:tr>
            <w:tr w:rsidR="000435B2" w:rsidRPr="00E335B8" w14:paraId="7BCAAA9A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6BC49FFB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1N</w:t>
                  </w:r>
                </w:p>
              </w:tc>
              <w:tc>
                <w:tcPr>
                  <w:tcW w:w="360" w:type="dxa"/>
                  <w:hideMark/>
                </w:tcPr>
                <w:p w14:paraId="713A54B2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65D01BE2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Due Date and Frame Due Time Cannot Be Met</w:t>
                  </w:r>
                </w:p>
              </w:tc>
            </w:tr>
            <w:tr w:rsidR="000435B2" w:rsidRPr="00E335B8" w14:paraId="4B34B806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28FFDFAA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1P</w:t>
                  </w:r>
                </w:p>
              </w:tc>
              <w:tc>
                <w:tcPr>
                  <w:tcW w:w="360" w:type="dxa"/>
                  <w:hideMark/>
                </w:tcPr>
                <w:p w14:paraId="7B345133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211C0691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Other</w:t>
                  </w:r>
                </w:p>
              </w:tc>
            </w:tr>
            <w:tr w:rsidR="000435B2" w:rsidRPr="00E335B8" w14:paraId="133470CF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4084A5BB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1Q</w:t>
                  </w:r>
                </w:p>
              </w:tc>
              <w:tc>
                <w:tcPr>
                  <w:tcW w:w="360" w:type="dxa"/>
                  <w:hideMark/>
                </w:tcPr>
                <w:p w14:paraId="3BD6D1D2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3B3C4BCB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Assignment Problem</w:t>
                  </w:r>
                </w:p>
              </w:tc>
            </w:tr>
            <w:tr w:rsidR="000435B2" w:rsidRPr="00E335B8" w14:paraId="076ECDBF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5DD8624E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1R</w:t>
                  </w:r>
                </w:p>
              </w:tc>
              <w:tc>
                <w:tcPr>
                  <w:tcW w:w="360" w:type="dxa"/>
                  <w:hideMark/>
                </w:tcPr>
                <w:p w14:paraId="51403183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26B84D00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Customer Could Not Be Reached </w:t>
                  </w:r>
                </w:p>
              </w:tc>
            </w:tr>
            <w:tr w:rsidR="000435B2" w:rsidRPr="00E335B8" w14:paraId="7449BC21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40D7DC92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1S</w:t>
                  </w:r>
                </w:p>
              </w:tc>
              <w:tc>
                <w:tcPr>
                  <w:tcW w:w="360" w:type="dxa"/>
                  <w:hideMark/>
                </w:tcPr>
                <w:p w14:paraId="3435B21E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0AFF0404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Building Not Ready, Customer Will Advise</w:t>
                  </w:r>
                </w:p>
              </w:tc>
            </w:tr>
            <w:tr w:rsidR="000435B2" w:rsidRPr="00E335B8" w14:paraId="56418F2B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4BC34469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1T</w:t>
                  </w:r>
                </w:p>
              </w:tc>
              <w:tc>
                <w:tcPr>
                  <w:tcW w:w="360" w:type="dxa"/>
                  <w:hideMark/>
                </w:tcPr>
                <w:p w14:paraId="1D2444E4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1373A304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Pole </w:t>
                  </w:r>
                  <w:proofErr w:type="gramStart"/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At</w:t>
                  </w:r>
                  <w:proofErr w:type="gramEnd"/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Site Not Set</w:t>
                  </w:r>
                </w:p>
              </w:tc>
            </w:tr>
            <w:tr w:rsidR="000435B2" w:rsidRPr="00E335B8" w14:paraId="0EE3F75B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2C1E3FBC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1W</w:t>
                  </w:r>
                </w:p>
              </w:tc>
              <w:tc>
                <w:tcPr>
                  <w:tcW w:w="360" w:type="dxa"/>
                  <w:hideMark/>
                </w:tcPr>
                <w:p w14:paraId="1F7FE458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0867BDAB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Entrance Facilities Required</w:t>
                  </w:r>
                </w:p>
              </w:tc>
            </w:tr>
            <w:tr w:rsidR="000435B2" w:rsidRPr="00E335B8" w14:paraId="6ABC32C7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5A95144E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1X</w:t>
                  </w:r>
                </w:p>
              </w:tc>
              <w:tc>
                <w:tcPr>
                  <w:tcW w:w="360" w:type="dxa"/>
                  <w:hideMark/>
                </w:tcPr>
                <w:p w14:paraId="2438E1A9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3535C465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Not Technically Feasible</w:t>
                  </w:r>
                </w:p>
              </w:tc>
            </w:tr>
            <w:tr w:rsidR="000435B2" w:rsidRPr="00E335B8" w14:paraId="5757E2CC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50F4DF33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1Y</w:t>
                  </w:r>
                </w:p>
              </w:tc>
              <w:tc>
                <w:tcPr>
                  <w:tcW w:w="360" w:type="dxa"/>
                  <w:hideMark/>
                </w:tcPr>
                <w:p w14:paraId="5D237860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34CDD457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 Central Office Equipment Available</w:t>
                  </w:r>
                </w:p>
              </w:tc>
            </w:tr>
            <w:tr w:rsidR="000435B2" w:rsidRPr="00E335B8" w14:paraId="0982F7E5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61A49A1A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1Z</w:t>
                  </w:r>
                </w:p>
              </w:tc>
              <w:tc>
                <w:tcPr>
                  <w:tcW w:w="360" w:type="dxa"/>
                  <w:hideMark/>
                </w:tcPr>
                <w:p w14:paraId="02B8CA2A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06306442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Other Exchange Company Not Ready</w:t>
                  </w:r>
                </w:p>
              </w:tc>
            </w:tr>
          </w:tbl>
          <w:p w14:paraId="006CD458" w14:textId="77777777" w:rsidR="000435B2" w:rsidRPr="00E335B8" w:rsidRDefault="000435B2" w:rsidP="000435B2">
            <w:pPr>
              <w:pStyle w:val="HeadDateASO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1AD51D" w14:textId="77777777" w:rsidR="000435B2" w:rsidRPr="00E335B8" w:rsidRDefault="000435B2" w:rsidP="000435B2">
            <w:pPr>
              <w:rPr>
                <w:rFonts w:cstheme="minorHAnsi"/>
                <w:b/>
              </w:rPr>
            </w:pPr>
            <w:r w:rsidRPr="00E335B8">
              <w:rPr>
                <w:rFonts w:cstheme="minorHAnsi"/>
                <w:b/>
              </w:rPr>
              <w:t>USAGE:</w:t>
            </w:r>
            <w:r w:rsidRPr="00E335B8">
              <w:rPr>
                <w:rFonts w:cstheme="minorHAnsi"/>
              </w:rPr>
              <w:t xml:space="preserve"> This field is </w:t>
            </w:r>
            <w:r w:rsidRPr="00E335B8">
              <w:rPr>
                <w:rFonts w:cstheme="minorHAnsi"/>
                <w:i/>
              </w:rPr>
              <w:t>conditional</w:t>
            </w:r>
            <w:r w:rsidRPr="00E335B8">
              <w:rPr>
                <w:rFonts w:cstheme="minorHAnsi"/>
              </w:rPr>
              <w:t>.</w:t>
            </w:r>
          </w:p>
          <w:p w14:paraId="226EA5BA" w14:textId="77777777" w:rsidR="000435B2" w:rsidRPr="00E335B8" w:rsidRDefault="000435B2" w:rsidP="000435B2">
            <w:pPr>
              <w:ind w:left="720"/>
              <w:rPr>
                <w:rFonts w:cstheme="minorHAnsi"/>
              </w:rPr>
            </w:pPr>
            <w:r w:rsidRPr="00E335B8">
              <w:rPr>
                <w:rFonts w:cstheme="minorHAnsi"/>
                <w:b/>
              </w:rPr>
              <w:t xml:space="preserve">NOTE 1: </w:t>
            </w:r>
            <w:r w:rsidRPr="00E335B8">
              <w:rPr>
                <w:rFonts w:cstheme="minorHAnsi"/>
              </w:rPr>
              <w:t xml:space="preserve">Required when the CNT field is “B”, “F”, </w:t>
            </w:r>
            <w:r w:rsidRPr="00E335B8">
              <w:rPr>
                <w:rFonts w:cstheme="minorHAnsi"/>
                <w:b/>
                <w:bCs/>
                <w:color w:val="0070C0"/>
              </w:rPr>
              <w:t xml:space="preserve">“G”, or “H”, </w:t>
            </w:r>
            <w:r w:rsidRPr="00E335B8">
              <w:rPr>
                <w:rFonts w:cstheme="minorHAnsi"/>
              </w:rPr>
              <w:t>otherwise prohibited.</w:t>
            </w:r>
          </w:p>
          <w:p w14:paraId="153DECBC" w14:textId="4FEC3C5E" w:rsidR="000435B2" w:rsidRPr="00E335B8" w:rsidRDefault="000435B2" w:rsidP="002E5138">
            <w:pPr>
              <w:rPr>
                <w:rFonts w:cstheme="minorHAnsi"/>
              </w:rPr>
            </w:pPr>
          </w:p>
        </w:tc>
      </w:tr>
      <w:tr w:rsidR="0018630F" w:rsidRPr="00753D33" w14:paraId="66118D87" w14:textId="77777777" w:rsidTr="00EC4A36">
        <w:tc>
          <w:tcPr>
            <w:tcW w:w="1237" w:type="dxa"/>
          </w:tcPr>
          <w:p w14:paraId="2189DBF6" w14:textId="4989C6A2" w:rsidR="0018630F" w:rsidRPr="00E335B8" w:rsidRDefault="000435B2" w:rsidP="00EC4A36">
            <w:pPr>
              <w:rPr>
                <w:rFonts w:cstheme="minorHAnsi"/>
                <w:sz w:val="20"/>
                <w:szCs w:val="20"/>
              </w:rPr>
            </w:pPr>
            <w:r w:rsidRPr="00E335B8">
              <w:rPr>
                <w:rFonts w:cstheme="minorHAnsi"/>
                <w:sz w:val="20"/>
                <w:szCs w:val="20"/>
              </w:rPr>
              <w:t>010</w:t>
            </w:r>
          </w:p>
        </w:tc>
        <w:tc>
          <w:tcPr>
            <w:tcW w:w="1823" w:type="dxa"/>
          </w:tcPr>
          <w:p w14:paraId="40C839D8" w14:textId="60328C7D" w:rsidR="0018630F" w:rsidRPr="00E335B8" w:rsidRDefault="000435B2" w:rsidP="00EC4A36">
            <w:pPr>
              <w:rPr>
                <w:rFonts w:cstheme="minorHAnsi"/>
                <w:sz w:val="20"/>
                <w:szCs w:val="20"/>
              </w:rPr>
            </w:pPr>
            <w:r w:rsidRPr="00E335B8">
              <w:rPr>
                <w:rFonts w:cstheme="minorHAnsi"/>
                <w:sz w:val="20"/>
                <w:szCs w:val="20"/>
              </w:rPr>
              <w:t>45. ERROR TAG</w:t>
            </w:r>
          </w:p>
        </w:tc>
        <w:tc>
          <w:tcPr>
            <w:tcW w:w="7578" w:type="dxa"/>
          </w:tcPr>
          <w:p w14:paraId="6269EC05" w14:textId="77777777" w:rsidR="0018630F" w:rsidRPr="009B740C" w:rsidRDefault="000435B2" w:rsidP="002E5138">
            <w:pPr>
              <w:rPr>
                <w:rFonts w:cstheme="minorHAnsi"/>
                <w:i/>
                <w:iCs/>
                <w:color w:val="0070C0"/>
                <w:shd w:val="clear" w:color="auto" w:fill="FFFFFF"/>
              </w:rPr>
            </w:pPr>
            <w:r w:rsidRPr="009B740C">
              <w:rPr>
                <w:rFonts w:cstheme="minorHAnsi"/>
                <w:i/>
                <w:iCs/>
                <w:color w:val="0070C0"/>
                <w:shd w:val="clear" w:color="auto" w:fill="FFFFFF"/>
              </w:rPr>
              <w:t>Modification of Usage Note 1</w:t>
            </w:r>
          </w:p>
          <w:p w14:paraId="66CB6304" w14:textId="6A0AA050" w:rsidR="000435B2" w:rsidRPr="00E335B8" w:rsidRDefault="000435B2" w:rsidP="000435B2">
            <w:pPr>
              <w:pStyle w:val="Heading3"/>
              <w:outlineLvl w:val="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bookmarkStart w:id="5" w:name="_Toc414534985"/>
            <w:bookmarkStart w:id="6" w:name="_Ref514664715"/>
            <w:bookmarkStart w:id="7" w:name="_Toc524102684"/>
            <w:r w:rsidRPr="00E335B8">
              <w:rPr>
                <w:rFonts w:asciiTheme="minorHAnsi" w:hAnsiTheme="minorHAnsi" w:cstheme="minorHAnsi"/>
                <w:sz w:val="22"/>
                <w:szCs w:val="22"/>
              </w:rPr>
              <w:t>45.  ERROR TAG - Error Tag</w:t>
            </w:r>
            <w:bookmarkEnd w:id="5"/>
            <w:bookmarkEnd w:id="6"/>
            <w:bookmarkEnd w:id="7"/>
          </w:p>
          <w:p w14:paraId="23A28186" w14:textId="77777777" w:rsidR="000435B2" w:rsidRPr="00E335B8" w:rsidRDefault="000435B2" w:rsidP="000435B2">
            <w:pPr>
              <w:pStyle w:val="NormalASOG"/>
              <w:rPr>
                <w:rFonts w:asciiTheme="minorHAnsi" w:hAnsiTheme="minorHAnsi" w:cstheme="minorHAnsi"/>
                <w:sz w:val="22"/>
                <w:szCs w:val="22"/>
              </w:rPr>
            </w:pPr>
            <w:r w:rsidRPr="00E335B8">
              <w:rPr>
                <w:rFonts w:asciiTheme="minorHAnsi" w:hAnsiTheme="minorHAnsi" w:cstheme="minorHAnsi"/>
                <w:sz w:val="22"/>
                <w:szCs w:val="22"/>
              </w:rPr>
              <w:t>Identifies a specific field or unique identification scheme for the error message provided in the ERROR MESSAGE field.</w:t>
            </w:r>
          </w:p>
          <w:tbl>
            <w:tblPr>
              <w:tblW w:w="86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1"/>
              <w:gridCol w:w="1507"/>
              <w:gridCol w:w="270"/>
              <w:gridCol w:w="5597"/>
            </w:tblGrid>
            <w:tr w:rsidR="000435B2" w:rsidRPr="00E335B8" w14:paraId="070C9ADF" w14:textId="77777777" w:rsidTr="000435B2">
              <w:trPr>
                <w:cantSplit/>
              </w:trPr>
              <w:tc>
                <w:tcPr>
                  <w:tcW w:w="8662" w:type="dxa"/>
                  <w:gridSpan w:val="4"/>
                  <w:hideMark/>
                </w:tcPr>
                <w:p w14:paraId="2C4FA8D4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VALID ENTRIES:</w:t>
                  </w:r>
                </w:p>
              </w:tc>
            </w:tr>
            <w:tr w:rsidR="000435B2" w:rsidRPr="00E335B8" w14:paraId="0E560F52" w14:textId="77777777" w:rsidTr="000435B2">
              <w:trPr>
                <w:gridBefore w:val="1"/>
                <w:wBefore w:w="1282" w:type="dxa"/>
                <w:trHeight w:val="288"/>
              </w:trPr>
              <w:tc>
                <w:tcPr>
                  <w:tcW w:w="7380" w:type="dxa"/>
                  <w:gridSpan w:val="3"/>
                  <w:hideMark/>
                </w:tcPr>
                <w:p w14:paraId="099E05ED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ASOG data element</w:t>
                  </w:r>
                </w:p>
              </w:tc>
            </w:tr>
            <w:tr w:rsidR="000435B2" w:rsidRPr="00E335B8" w14:paraId="25240974" w14:textId="77777777" w:rsidTr="000435B2">
              <w:trPr>
                <w:gridBefore w:val="1"/>
                <w:wBefore w:w="1282" w:type="dxa"/>
                <w:trHeight w:val="288"/>
              </w:trPr>
              <w:tc>
                <w:tcPr>
                  <w:tcW w:w="7380" w:type="dxa"/>
                  <w:gridSpan w:val="3"/>
                  <w:hideMark/>
                </w:tcPr>
                <w:p w14:paraId="16967570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Unique error code</w:t>
                  </w:r>
                </w:p>
              </w:tc>
            </w:tr>
            <w:tr w:rsidR="000435B2" w:rsidRPr="00E335B8" w14:paraId="56DEBC5F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1508" w:type="dxa"/>
                  <w:hideMark/>
                </w:tcPr>
                <w:p w14:paraId="728B70B8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SVC-ADDR</w:t>
                  </w:r>
                </w:p>
              </w:tc>
              <w:tc>
                <w:tcPr>
                  <w:tcW w:w="270" w:type="dxa"/>
                  <w:hideMark/>
                </w:tcPr>
                <w:p w14:paraId="6A702AEB" w14:textId="77777777" w:rsidR="000435B2" w:rsidRPr="00E335B8" w:rsidRDefault="000435B2" w:rsidP="000435B2">
                  <w:pPr>
                    <w:pStyle w:val="NormalASOG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5602" w:type="dxa"/>
                  <w:hideMark/>
                </w:tcPr>
                <w:p w14:paraId="6C2B5EBF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Service Address</w:t>
                  </w:r>
                </w:p>
              </w:tc>
            </w:tr>
          </w:tbl>
          <w:p w14:paraId="39ED736F" w14:textId="77777777" w:rsidR="000435B2" w:rsidRPr="00E335B8" w:rsidRDefault="000435B2" w:rsidP="000435B2">
            <w:pPr>
              <w:pStyle w:val="NormalASO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724AE1" w14:textId="77777777" w:rsidR="000435B2" w:rsidRPr="00E335B8" w:rsidRDefault="000435B2" w:rsidP="000435B2">
            <w:pPr>
              <w:ind w:left="720"/>
              <w:rPr>
                <w:rFonts w:cstheme="minorHAnsi"/>
              </w:rPr>
            </w:pPr>
            <w:r w:rsidRPr="00E335B8">
              <w:rPr>
                <w:rFonts w:cstheme="minorHAnsi"/>
                <w:b/>
              </w:rPr>
              <w:t xml:space="preserve">NOTE 1: </w:t>
            </w:r>
            <w:r w:rsidRPr="00E335B8">
              <w:rPr>
                <w:rFonts w:cstheme="minorHAnsi"/>
              </w:rPr>
              <w:t>The valid entry “SVC-ADDR” indicates one or more data elements associated with the service address on the SALI Form is in error. In lieu of “SVC-ADDR”, the specific ASOG data element may be used (e.g., CITY) as stated in Note 2.</w:t>
            </w:r>
          </w:p>
          <w:p w14:paraId="6CAF869B" w14:textId="77777777" w:rsidR="000435B2" w:rsidRPr="00E335B8" w:rsidRDefault="000435B2" w:rsidP="000435B2">
            <w:pPr>
              <w:ind w:left="720"/>
              <w:rPr>
                <w:rFonts w:cstheme="minorHAnsi"/>
              </w:rPr>
            </w:pPr>
            <w:r w:rsidRPr="00E335B8">
              <w:rPr>
                <w:rFonts w:cstheme="minorHAnsi"/>
                <w:b/>
              </w:rPr>
              <w:t xml:space="preserve">NOTE 2: </w:t>
            </w:r>
            <w:r w:rsidRPr="00E335B8">
              <w:rPr>
                <w:rFonts w:cstheme="minorHAnsi"/>
              </w:rPr>
              <w:t>Identifies the name of the field (e.g., NCI) in error as shown in the ASOG.</w:t>
            </w:r>
          </w:p>
          <w:p w14:paraId="24CBE597" w14:textId="77777777" w:rsidR="000435B2" w:rsidRPr="00E335B8" w:rsidRDefault="000435B2" w:rsidP="000435B2">
            <w:pPr>
              <w:ind w:left="720"/>
              <w:rPr>
                <w:rFonts w:cstheme="minorHAnsi"/>
              </w:rPr>
            </w:pPr>
            <w:r w:rsidRPr="00E335B8">
              <w:rPr>
                <w:rFonts w:cstheme="minorHAnsi"/>
                <w:b/>
              </w:rPr>
              <w:t xml:space="preserve">NOTE 3: </w:t>
            </w:r>
            <w:r w:rsidRPr="00E335B8">
              <w:rPr>
                <w:rFonts w:cstheme="minorHAnsi"/>
              </w:rPr>
              <w:t>Identifies an error condition that cannot be mapped to a specific ASOG data element.</w:t>
            </w:r>
          </w:p>
          <w:p w14:paraId="3D33A04E" w14:textId="77777777" w:rsidR="000435B2" w:rsidRPr="00E335B8" w:rsidRDefault="000435B2" w:rsidP="000435B2">
            <w:pPr>
              <w:rPr>
                <w:rFonts w:cstheme="minorHAnsi"/>
                <w:b/>
              </w:rPr>
            </w:pPr>
            <w:r w:rsidRPr="00E335B8">
              <w:rPr>
                <w:rFonts w:cstheme="minorHAnsi"/>
                <w:b/>
              </w:rPr>
              <w:t>USAGE:</w:t>
            </w:r>
            <w:r w:rsidRPr="00E335B8">
              <w:rPr>
                <w:rFonts w:cstheme="minorHAnsi"/>
              </w:rPr>
              <w:t xml:space="preserve"> This field is </w:t>
            </w:r>
            <w:r w:rsidRPr="00E335B8">
              <w:rPr>
                <w:rFonts w:cstheme="minorHAnsi"/>
                <w:i/>
              </w:rPr>
              <w:t>conditional</w:t>
            </w:r>
            <w:r w:rsidRPr="00E335B8">
              <w:rPr>
                <w:rFonts w:cstheme="minorHAnsi"/>
              </w:rPr>
              <w:t>.</w:t>
            </w:r>
          </w:p>
          <w:p w14:paraId="5C5FE643" w14:textId="051616B7" w:rsidR="000435B2" w:rsidRPr="00D54007" w:rsidRDefault="000435B2" w:rsidP="00D54007">
            <w:pPr>
              <w:ind w:left="720"/>
              <w:rPr>
                <w:rFonts w:cstheme="minorHAnsi"/>
              </w:rPr>
            </w:pPr>
            <w:r w:rsidRPr="00E335B8">
              <w:rPr>
                <w:rFonts w:cstheme="minorHAnsi"/>
                <w:b/>
              </w:rPr>
              <w:t xml:space="preserve">NOTE 1: </w:t>
            </w:r>
            <w:r w:rsidRPr="00E335B8">
              <w:rPr>
                <w:rFonts w:cstheme="minorHAnsi"/>
              </w:rPr>
              <w:t xml:space="preserve">Required when the CNT field is “E”, </w:t>
            </w:r>
            <w:r w:rsidRPr="00E335B8">
              <w:rPr>
                <w:rFonts w:cstheme="minorHAnsi"/>
                <w:b/>
                <w:bCs/>
                <w:color w:val="0070C0"/>
              </w:rPr>
              <w:t>“F”</w:t>
            </w:r>
            <w:r w:rsidRPr="00E335B8">
              <w:rPr>
                <w:rFonts w:cstheme="minorHAnsi"/>
                <w:color w:val="0070C0"/>
              </w:rPr>
              <w:t xml:space="preserve"> </w:t>
            </w:r>
            <w:r w:rsidRPr="00E335B8">
              <w:rPr>
                <w:rFonts w:cstheme="minorHAnsi"/>
              </w:rPr>
              <w:t>or “H”, otherwise prohibited.</w:t>
            </w:r>
          </w:p>
        </w:tc>
      </w:tr>
      <w:bookmarkEnd w:id="0"/>
    </w:tbl>
    <w:p w14:paraId="0D233B93" w14:textId="3B3C474A" w:rsidR="003D00CB" w:rsidRDefault="003D00CB" w:rsidP="00EA071F">
      <w:pPr>
        <w:jc w:val="right"/>
        <w:rPr>
          <w:rFonts w:ascii="Arial" w:hAnsi="Arial" w:cs="Arial"/>
        </w:rPr>
      </w:pPr>
    </w:p>
    <w:p w14:paraId="1287B608" w14:textId="12E5B8C9" w:rsidR="00297313" w:rsidRPr="00297313" w:rsidRDefault="00297313" w:rsidP="00297313">
      <w:pPr>
        <w:rPr>
          <w:rFonts w:ascii="Arial" w:hAnsi="Arial" w:cs="Arial"/>
          <w:b/>
          <w:bCs/>
          <w:i/>
          <w:iCs/>
        </w:rPr>
      </w:pPr>
      <w:r w:rsidRPr="00297313">
        <w:rPr>
          <w:rFonts w:ascii="Arial" w:hAnsi="Arial" w:cs="Arial"/>
          <w:b/>
          <w:bCs/>
          <w:i/>
          <w:iCs/>
        </w:rPr>
        <w:t>LUMEN Implementation of the PRE-FOC jeopardy notification</w:t>
      </w:r>
    </w:p>
    <w:p w14:paraId="7513860C" w14:textId="48241A29" w:rsidR="00297313" w:rsidRPr="00642DF9" w:rsidRDefault="00297313" w:rsidP="00466181">
      <w:pPr>
        <w:pStyle w:val="ListParagraph"/>
        <w:numPr>
          <w:ilvl w:val="0"/>
          <w:numId w:val="30"/>
        </w:numPr>
        <w:spacing w:after="120" w:line="240" w:lineRule="auto"/>
        <w:ind w:left="1080" w:right="630"/>
        <w:rPr>
          <w:rFonts w:eastAsiaTheme="minorHAnsi"/>
        </w:rPr>
      </w:pPr>
      <w:bookmarkStart w:id="8" w:name="_Hlk62471129"/>
      <w:r>
        <w:t xml:space="preserve">The Order list will display the above jeopardy names for any jeopardy responses after the ASOG 63 cutover.  </w:t>
      </w:r>
      <w:proofErr w:type="gramStart"/>
      <w:r>
        <w:t>Any existing Jeopardies,</w:t>
      </w:r>
      <w:proofErr w:type="gramEnd"/>
      <w:r>
        <w:t xml:space="preserve"> will retain the previous “Jeopardy” or “Jeopardy with Errors” status.</w:t>
      </w:r>
    </w:p>
    <w:p w14:paraId="2C0C7D66" w14:textId="69245DFB" w:rsidR="00642DF9" w:rsidRDefault="00642DF9" w:rsidP="00466181">
      <w:pPr>
        <w:pStyle w:val="ListParagraph"/>
        <w:numPr>
          <w:ilvl w:val="0"/>
          <w:numId w:val="30"/>
        </w:numPr>
        <w:spacing w:after="120" w:line="240" w:lineRule="auto"/>
        <w:ind w:left="1080" w:right="630"/>
        <w:rPr>
          <w:rFonts w:eastAsiaTheme="minorHAnsi"/>
        </w:rPr>
      </w:pPr>
      <w:r>
        <w:t>The use of the PRE-FOC jeopardy values is only applicable on the initial FOC issuance for the PON.</w:t>
      </w:r>
    </w:p>
    <w:p w14:paraId="46A430ED" w14:textId="77777777" w:rsidR="00642DF9" w:rsidRDefault="00642DF9" w:rsidP="00466181">
      <w:pPr>
        <w:spacing w:after="120" w:line="240" w:lineRule="auto"/>
        <w:ind w:left="360" w:right="630"/>
        <w:rPr>
          <w:b/>
          <w:bCs/>
        </w:rPr>
      </w:pPr>
    </w:p>
    <w:p w14:paraId="03B88176" w14:textId="04E4F46A" w:rsidR="00297313" w:rsidRDefault="00642DF9" w:rsidP="00466181">
      <w:pPr>
        <w:spacing w:after="120" w:line="240" w:lineRule="auto"/>
        <w:ind w:left="360" w:right="630"/>
        <w:rPr>
          <w:rFonts w:eastAsiaTheme="minorHAnsi"/>
          <w:b/>
          <w:bCs/>
        </w:rPr>
      </w:pPr>
      <w:r>
        <w:rPr>
          <w:b/>
          <w:bCs/>
        </w:rPr>
        <w:t xml:space="preserve">Modifications to the EASE VFO </w:t>
      </w:r>
      <w:r w:rsidR="00297313">
        <w:rPr>
          <w:b/>
          <w:bCs/>
        </w:rPr>
        <w:t>Filter Page</w:t>
      </w:r>
    </w:p>
    <w:p w14:paraId="584B38E6" w14:textId="77777777" w:rsidR="00297313" w:rsidRDefault="00297313" w:rsidP="00466181">
      <w:pPr>
        <w:pStyle w:val="ListParagraph"/>
        <w:numPr>
          <w:ilvl w:val="0"/>
          <w:numId w:val="30"/>
        </w:numPr>
        <w:spacing w:after="120" w:line="240" w:lineRule="auto"/>
        <w:ind w:left="1080" w:right="630"/>
      </w:pPr>
      <w:r>
        <w:t xml:space="preserve">The filter will include the two new jeopardy status names as well as revised current “Jeopardy” and “Jeopardy with errors” values.  </w:t>
      </w:r>
    </w:p>
    <w:p w14:paraId="58D2AFC3" w14:textId="77777777" w:rsidR="00297313" w:rsidRDefault="00297313" w:rsidP="00466181">
      <w:pPr>
        <w:pStyle w:val="ListParagraph"/>
        <w:spacing w:after="120" w:line="240" w:lineRule="auto"/>
        <w:ind w:left="1080" w:right="630"/>
      </w:pPr>
    </w:p>
    <w:p w14:paraId="25ADAE5F" w14:textId="77777777" w:rsidR="00297313" w:rsidRDefault="00297313" w:rsidP="00466181">
      <w:pPr>
        <w:pStyle w:val="ListParagraph"/>
        <w:numPr>
          <w:ilvl w:val="0"/>
          <w:numId w:val="30"/>
        </w:numPr>
        <w:spacing w:after="120" w:line="240" w:lineRule="auto"/>
        <w:ind w:left="1080" w:right="630"/>
      </w:pPr>
      <w:r>
        <w:t>They will appear in the Access Section as:</w:t>
      </w:r>
    </w:p>
    <w:p w14:paraId="130746E2" w14:textId="77777777" w:rsidR="00297313" w:rsidRDefault="00297313" w:rsidP="00466181">
      <w:pPr>
        <w:pStyle w:val="ListParagraph"/>
        <w:ind w:left="1080"/>
      </w:pPr>
    </w:p>
    <w:p w14:paraId="193713D0" w14:textId="77777777" w:rsidR="00297313" w:rsidRDefault="00297313" w:rsidP="00466181">
      <w:pPr>
        <w:pStyle w:val="ListParagraph"/>
        <w:numPr>
          <w:ilvl w:val="1"/>
          <w:numId w:val="30"/>
        </w:numPr>
        <w:spacing w:after="120" w:line="240" w:lineRule="auto"/>
        <w:ind w:left="1800" w:right="630"/>
      </w:pPr>
      <w:r>
        <w:t>Jeopardy/Post-FOC Jeopardy</w:t>
      </w:r>
    </w:p>
    <w:p w14:paraId="70FFBF84" w14:textId="77777777" w:rsidR="00297313" w:rsidRDefault="00297313" w:rsidP="00466181">
      <w:pPr>
        <w:pStyle w:val="ListParagraph"/>
        <w:numPr>
          <w:ilvl w:val="1"/>
          <w:numId w:val="30"/>
        </w:numPr>
        <w:spacing w:after="120" w:line="240" w:lineRule="auto"/>
        <w:ind w:left="1800" w:right="630"/>
      </w:pPr>
      <w:r>
        <w:t>Jeopardy with Errors/Post-FOC Jeopardy with Errors</w:t>
      </w:r>
    </w:p>
    <w:p w14:paraId="1E632A8F" w14:textId="77777777" w:rsidR="00297313" w:rsidRDefault="00297313" w:rsidP="00466181">
      <w:pPr>
        <w:pStyle w:val="ListParagraph"/>
        <w:numPr>
          <w:ilvl w:val="1"/>
          <w:numId w:val="30"/>
        </w:numPr>
        <w:spacing w:after="120" w:line="240" w:lineRule="auto"/>
        <w:ind w:left="1800" w:right="630"/>
      </w:pPr>
      <w:r>
        <w:t>Pre-FOC Jeopardy</w:t>
      </w:r>
    </w:p>
    <w:p w14:paraId="5D647050" w14:textId="77777777" w:rsidR="00297313" w:rsidRDefault="00297313" w:rsidP="00466181">
      <w:pPr>
        <w:pStyle w:val="ListParagraph"/>
        <w:numPr>
          <w:ilvl w:val="1"/>
          <w:numId w:val="30"/>
        </w:numPr>
        <w:spacing w:after="120" w:line="240" w:lineRule="auto"/>
        <w:ind w:left="1800" w:right="630"/>
      </w:pPr>
      <w:r>
        <w:t>Pre-FOC Jeopardy with Errors</w:t>
      </w:r>
    </w:p>
    <w:p w14:paraId="0735CB3C" w14:textId="0ADFECC3" w:rsidR="00297313" w:rsidRDefault="00297313" w:rsidP="00466181">
      <w:pPr>
        <w:ind w:left="360"/>
        <w:rPr>
          <w:rFonts w:ascii="Arial" w:hAnsi="Arial" w:cs="Arial"/>
          <w:b/>
          <w:i/>
        </w:rPr>
      </w:pPr>
    </w:p>
    <w:p w14:paraId="172A93E5" w14:textId="7FBB6879" w:rsidR="00297313" w:rsidRDefault="00297313" w:rsidP="00466181">
      <w:pPr>
        <w:spacing w:after="120" w:line="240" w:lineRule="auto"/>
        <w:ind w:left="1080" w:right="630"/>
        <w:rPr>
          <w:rFonts w:eastAsiaTheme="minorHAnsi"/>
        </w:rPr>
      </w:pPr>
      <w:r>
        <w:rPr>
          <w:noProof/>
        </w:rPr>
        <w:drawing>
          <wp:inline distT="0" distB="0" distL="0" distR="0" wp14:anchorId="27B37288" wp14:editId="156FDE9A">
            <wp:extent cx="5381625" cy="3009900"/>
            <wp:effectExtent l="19050" t="19050" r="28575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0099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77865AC" w14:textId="77777777" w:rsidR="00297313" w:rsidRDefault="00297313" w:rsidP="00466181">
      <w:pPr>
        <w:pStyle w:val="ListParagraph"/>
        <w:numPr>
          <w:ilvl w:val="0"/>
          <w:numId w:val="31"/>
        </w:numPr>
        <w:spacing w:after="120" w:line="240" w:lineRule="auto"/>
        <w:ind w:left="1080" w:right="630"/>
      </w:pPr>
      <w:r>
        <w:t>Under the Receive Status, they will appear as:</w:t>
      </w:r>
    </w:p>
    <w:p w14:paraId="40E15B24" w14:textId="77777777" w:rsidR="00297313" w:rsidRDefault="00297313" w:rsidP="00466181">
      <w:pPr>
        <w:pStyle w:val="ListParagraph"/>
        <w:numPr>
          <w:ilvl w:val="1"/>
          <w:numId w:val="31"/>
        </w:numPr>
        <w:spacing w:after="120" w:line="240" w:lineRule="auto"/>
        <w:ind w:left="1440" w:right="630"/>
      </w:pPr>
      <w:r>
        <w:t>Jeopardy/Post-FOC Jeopardy</w:t>
      </w:r>
    </w:p>
    <w:p w14:paraId="20723DE2" w14:textId="77777777" w:rsidR="00297313" w:rsidRDefault="00297313" w:rsidP="00466181">
      <w:pPr>
        <w:pStyle w:val="ListParagraph"/>
        <w:numPr>
          <w:ilvl w:val="1"/>
          <w:numId w:val="31"/>
        </w:numPr>
        <w:spacing w:after="120" w:line="240" w:lineRule="auto"/>
        <w:ind w:left="1440" w:right="630"/>
      </w:pPr>
      <w:r>
        <w:t>Jeopardy with Errors/Post-FOC Jeopardy with Errors</w:t>
      </w:r>
    </w:p>
    <w:p w14:paraId="59BCDDB8" w14:textId="77777777" w:rsidR="00297313" w:rsidRDefault="00297313" w:rsidP="00466181">
      <w:pPr>
        <w:pStyle w:val="ListParagraph"/>
        <w:numPr>
          <w:ilvl w:val="1"/>
          <w:numId w:val="31"/>
        </w:numPr>
        <w:spacing w:after="120" w:line="240" w:lineRule="auto"/>
        <w:ind w:left="1440" w:right="630"/>
      </w:pPr>
      <w:r>
        <w:t>Pre-FOC Jeopardy</w:t>
      </w:r>
    </w:p>
    <w:p w14:paraId="3D92B4C9" w14:textId="77777777" w:rsidR="00297313" w:rsidRDefault="00297313" w:rsidP="00466181">
      <w:pPr>
        <w:pStyle w:val="ListParagraph"/>
        <w:numPr>
          <w:ilvl w:val="1"/>
          <w:numId w:val="31"/>
        </w:numPr>
        <w:spacing w:after="120" w:line="240" w:lineRule="auto"/>
        <w:ind w:left="1440" w:right="630"/>
      </w:pPr>
      <w:r>
        <w:t>Pre-FOC Jeopardy with Errors</w:t>
      </w:r>
    </w:p>
    <w:p w14:paraId="402E4DCC" w14:textId="77777777" w:rsidR="00297313" w:rsidRDefault="00297313" w:rsidP="00466181">
      <w:pPr>
        <w:pStyle w:val="ListParagraph"/>
        <w:spacing w:after="120" w:line="240" w:lineRule="auto"/>
        <w:ind w:left="1440" w:right="630"/>
      </w:pPr>
    </w:p>
    <w:p w14:paraId="4B6B6F96" w14:textId="63465229" w:rsidR="00297313" w:rsidRDefault="00297313" w:rsidP="00466181">
      <w:pPr>
        <w:pStyle w:val="ListParagraph"/>
        <w:spacing w:after="120" w:line="240" w:lineRule="auto"/>
        <w:ind w:left="1080" w:righ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83AC6" wp14:editId="1F679185">
                <wp:simplePos x="0" y="0"/>
                <wp:positionH relativeFrom="column">
                  <wp:posOffset>487680</wp:posOffset>
                </wp:positionH>
                <wp:positionV relativeFrom="paragraph">
                  <wp:posOffset>1823085</wp:posOffset>
                </wp:positionV>
                <wp:extent cx="5125720" cy="190500"/>
                <wp:effectExtent l="0" t="0" r="1778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572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3A9A5" id="Rectangle 15" o:spid="_x0000_s1026" style="position:absolute;margin-left:38.4pt;margin-top:143.55pt;width:403.6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" filled="f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2A3D9284" wp14:editId="2A633A30">
            <wp:extent cx="5400675" cy="291465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146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B8AA368" w14:textId="77777777" w:rsidR="00297313" w:rsidRDefault="00297313" w:rsidP="003D00CB">
      <w:pPr>
        <w:rPr>
          <w:rFonts w:ascii="Arial" w:hAnsi="Arial" w:cs="Arial"/>
          <w:b/>
          <w:i/>
        </w:rPr>
      </w:pPr>
    </w:p>
    <w:p w14:paraId="7FAD5B59" w14:textId="77777777" w:rsidR="00297313" w:rsidRDefault="00297313" w:rsidP="003D00CB">
      <w:pPr>
        <w:rPr>
          <w:rFonts w:ascii="Arial" w:hAnsi="Arial" w:cs="Arial"/>
          <w:b/>
          <w:i/>
        </w:rPr>
      </w:pPr>
    </w:p>
    <w:p w14:paraId="7C0732FE" w14:textId="77777777" w:rsidR="00297313" w:rsidRDefault="00297313" w:rsidP="003D00CB">
      <w:pPr>
        <w:rPr>
          <w:rFonts w:ascii="Arial" w:hAnsi="Arial" w:cs="Arial"/>
          <w:b/>
          <w:i/>
        </w:rPr>
      </w:pPr>
    </w:p>
    <w:p w14:paraId="1BB1289B" w14:textId="389660AA" w:rsidR="003D00CB" w:rsidRDefault="00536647" w:rsidP="003D00C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Lumen</w:t>
      </w:r>
      <w:r w:rsidR="003D00CB">
        <w:rPr>
          <w:rFonts w:ascii="Arial" w:hAnsi="Arial" w:cs="Arial"/>
          <w:b/>
          <w:i/>
        </w:rPr>
        <w:t xml:space="preserve"> will </w:t>
      </w:r>
      <w:r w:rsidR="003D00CB" w:rsidRPr="000B15E4">
        <w:rPr>
          <w:rFonts w:ascii="Arial" w:hAnsi="Arial" w:cs="Arial"/>
          <w:b/>
          <w:i/>
          <w:u w:val="single"/>
        </w:rPr>
        <w:t>not</w:t>
      </w:r>
      <w:r w:rsidR="003D00CB">
        <w:rPr>
          <w:rFonts w:ascii="Arial" w:hAnsi="Arial" w:cs="Arial"/>
          <w:b/>
          <w:i/>
        </w:rPr>
        <w:t xml:space="preserve"> support the following modifications with </w:t>
      </w:r>
      <w:r w:rsidR="00557778">
        <w:rPr>
          <w:rFonts w:ascii="Arial" w:hAnsi="Arial" w:cs="Arial"/>
          <w:b/>
          <w:i/>
        </w:rPr>
        <w:t>ASOG 63</w:t>
      </w:r>
      <w:r w:rsidR="003D00CB">
        <w:rPr>
          <w:rFonts w:ascii="Arial" w:hAnsi="Arial" w:cs="Arial"/>
          <w:b/>
          <w:i/>
        </w:rPr>
        <w:t>:</w:t>
      </w:r>
    </w:p>
    <w:tbl>
      <w:tblPr>
        <w:tblStyle w:val="TableGrid"/>
        <w:tblW w:w="10638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237"/>
        <w:gridCol w:w="2610"/>
        <w:gridCol w:w="6791"/>
      </w:tblGrid>
      <w:tr w:rsidR="003D00CB" w:rsidRPr="00753D33" w14:paraId="57C2B91D" w14:textId="77777777" w:rsidTr="00650EB3">
        <w:tc>
          <w:tcPr>
            <w:tcW w:w="1237" w:type="dxa"/>
            <w:shd w:val="clear" w:color="auto" w:fill="D9D9D9" w:themeFill="background1" w:themeFillShade="D9"/>
          </w:tcPr>
          <w:p w14:paraId="766F909B" w14:textId="3254F912" w:rsidR="003D00CB" w:rsidRPr="00753D33" w:rsidRDefault="003D00CB" w:rsidP="00650EB3">
            <w:pPr>
              <w:rPr>
                <w:rFonts w:cstheme="minorHAnsi"/>
                <w:sz w:val="20"/>
                <w:szCs w:val="20"/>
              </w:rPr>
            </w:pPr>
            <w:r w:rsidRPr="00753D33">
              <w:rPr>
                <w:rFonts w:cstheme="minorHAnsi"/>
                <w:sz w:val="20"/>
                <w:szCs w:val="20"/>
              </w:rPr>
              <w:t>FORM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310B8365" w14:textId="77777777" w:rsidR="003D00CB" w:rsidRPr="00753D33" w:rsidRDefault="003D00CB" w:rsidP="00650EB3">
            <w:pPr>
              <w:rPr>
                <w:rFonts w:cstheme="minorHAnsi"/>
                <w:sz w:val="20"/>
                <w:szCs w:val="20"/>
              </w:rPr>
            </w:pPr>
            <w:r w:rsidRPr="00753D33">
              <w:rPr>
                <w:rFonts w:cstheme="minorHAnsi"/>
                <w:sz w:val="20"/>
                <w:szCs w:val="20"/>
              </w:rPr>
              <w:t>Field</w:t>
            </w:r>
          </w:p>
        </w:tc>
        <w:tc>
          <w:tcPr>
            <w:tcW w:w="6791" w:type="dxa"/>
            <w:shd w:val="clear" w:color="auto" w:fill="D9D9D9" w:themeFill="background1" w:themeFillShade="D9"/>
          </w:tcPr>
          <w:p w14:paraId="21BC818D" w14:textId="681DA021" w:rsidR="003D00CB" w:rsidRPr="00753D33" w:rsidRDefault="003D00CB" w:rsidP="00650EB3">
            <w:pPr>
              <w:rPr>
                <w:rFonts w:ascii="Arial" w:hAnsi="Arial" w:cs="Arial"/>
              </w:rPr>
            </w:pPr>
            <w:r w:rsidRPr="00753D33">
              <w:rPr>
                <w:rFonts w:ascii="Arial" w:hAnsi="Arial" w:cs="Arial"/>
              </w:rPr>
              <w:t>ASR 6</w:t>
            </w:r>
            <w:r w:rsidR="00557778">
              <w:rPr>
                <w:rFonts w:ascii="Arial" w:hAnsi="Arial" w:cs="Arial"/>
              </w:rPr>
              <w:t>3</w:t>
            </w:r>
            <w:r w:rsidRPr="00753D33">
              <w:rPr>
                <w:rFonts w:ascii="Arial" w:hAnsi="Arial" w:cs="Arial"/>
              </w:rPr>
              <w:t xml:space="preserve"> Modification</w:t>
            </w:r>
          </w:p>
        </w:tc>
      </w:tr>
      <w:tr w:rsidR="003D00CB" w:rsidRPr="00753D33" w14:paraId="514FCB75" w14:textId="77777777" w:rsidTr="00650EB3">
        <w:tc>
          <w:tcPr>
            <w:tcW w:w="1237" w:type="dxa"/>
          </w:tcPr>
          <w:p w14:paraId="644484E5" w14:textId="1734D6CF" w:rsidR="003D00CB" w:rsidRPr="00753D33" w:rsidRDefault="003D00CB" w:rsidP="00650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3AB2C98" w14:textId="68C98D0B" w:rsidR="003D00CB" w:rsidRPr="00F35F8A" w:rsidRDefault="003D00CB" w:rsidP="00650EB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1" w:type="dxa"/>
          </w:tcPr>
          <w:p w14:paraId="03D9B05E" w14:textId="70397EFC" w:rsidR="003D00CB" w:rsidRPr="00F35F8A" w:rsidRDefault="003D00CB" w:rsidP="00650EB3">
            <w:pPr>
              <w:pStyle w:val="HeadDateASOG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A95210" w:rsidRPr="00753D33" w14:paraId="240A36C8" w14:textId="77777777" w:rsidTr="00650EB3">
        <w:tc>
          <w:tcPr>
            <w:tcW w:w="1237" w:type="dxa"/>
          </w:tcPr>
          <w:p w14:paraId="2683B69F" w14:textId="023B58E4" w:rsidR="00A95210" w:rsidRDefault="00A95210" w:rsidP="00A952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601B86C" w14:textId="5E5F1F29" w:rsidR="00A95210" w:rsidRDefault="00A95210" w:rsidP="00A952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1" w:type="dxa"/>
          </w:tcPr>
          <w:p w14:paraId="2B0CC5BA" w14:textId="612187AF" w:rsidR="00A95210" w:rsidRDefault="00A95210" w:rsidP="00A95210">
            <w:pPr>
              <w:pStyle w:val="HeadDateASOG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A95210" w:rsidRPr="00753D33" w14:paraId="0143A233" w14:textId="77777777" w:rsidTr="00650EB3">
        <w:tc>
          <w:tcPr>
            <w:tcW w:w="1237" w:type="dxa"/>
          </w:tcPr>
          <w:p w14:paraId="19481A63" w14:textId="25C149EF" w:rsidR="00A95210" w:rsidRDefault="00A95210" w:rsidP="00A952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E290E52" w14:textId="2824C5B4" w:rsidR="00A95210" w:rsidRDefault="00A95210" w:rsidP="00A952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1" w:type="dxa"/>
          </w:tcPr>
          <w:p w14:paraId="08174F23" w14:textId="39CDD302" w:rsidR="00A95210" w:rsidRDefault="00A95210" w:rsidP="00A95210">
            <w:pPr>
              <w:pStyle w:val="HeadDateASOG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</w:tbl>
    <w:bookmarkEnd w:id="8"/>
    <w:p w14:paraId="50961555" w14:textId="2B378CD9" w:rsidR="00C563BB" w:rsidRPr="00753D33" w:rsidRDefault="0076641F" w:rsidP="00EA071F">
      <w:pPr>
        <w:jc w:val="right"/>
        <w:rPr>
          <w:rFonts w:ascii="Arial" w:hAnsi="Arial" w:cs="Arial"/>
        </w:rPr>
      </w:pPr>
      <w:r w:rsidRPr="00753D33">
        <w:rPr>
          <w:rFonts w:ascii="Arial" w:hAnsi="Arial" w:cs="Arial"/>
        </w:rPr>
        <w:tab/>
      </w:r>
      <w:r w:rsidRPr="00753D33">
        <w:rPr>
          <w:rFonts w:ascii="Arial" w:hAnsi="Arial" w:cs="Arial"/>
        </w:rPr>
        <w:tab/>
      </w:r>
      <w:r w:rsidRPr="00753D33">
        <w:rPr>
          <w:rFonts w:ascii="Arial" w:hAnsi="Arial" w:cs="Arial"/>
        </w:rPr>
        <w:tab/>
      </w:r>
      <w:r w:rsidRPr="00753D33">
        <w:rPr>
          <w:rFonts w:ascii="Arial" w:hAnsi="Arial" w:cs="Arial"/>
        </w:rPr>
        <w:tab/>
      </w:r>
    </w:p>
    <w:p w14:paraId="6E6CBC83" w14:textId="7E259E92" w:rsidR="002953CD" w:rsidRPr="00B02A73" w:rsidRDefault="002953CD" w:rsidP="002953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With </w:t>
      </w:r>
      <w:r w:rsidR="00557778">
        <w:rPr>
          <w:rFonts w:ascii="Arial" w:hAnsi="Arial" w:cs="Arial"/>
        </w:rPr>
        <w:t>ASOG 63</w:t>
      </w:r>
      <w:r>
        <w:rPr>
          <w:rFonts w:ascii="Arial" w:hAnsi="Arial" w:cs="Arial"/>
        </w:rPr>
        <w:t xml:space="preserve">, </w:t>
      </w:r>
      <w:r w:rsidR="00536647">
        <w:rPr>
          <w:rFonts w:ascii="Arial" w:hAnsi="Arial" w:cs="Arial"/>
        </w:rPr>
        <w:t>Lumen</w:t>
      </w:r>
      <w:r w:rsidRPr="00B02A73">
        <w:rPr>
          <w:rFonts w:ascii="Arial" w:hAnsi="Arial" w:cs="Arial"/>
        </w:rPr>
        <w:t xml:space="preserve"> will modify custom business rules including, but not limited to the following: </w:t>
      </w:r>
    </w:p>
    <w:p w14:paraId="5C88E6E6" w14:textId="0A520296" w:rsidR="002953CD" w:rsidRPr="00B02A73" w:rsidRDefault="002953CD" w:rsidP="002953CD">
      <w:pPr>
        <w:spacing w:after="0"/>
        <w:ind w:left="720"/>
        <w:rPr>
          <w:rFonts w:ascii="Arial" w:hAnsi="Arial" w:cs="Arial"/>
          <w:i/>
        </w:rPr>
      </w:pPr>
      <w:r w:rsidRPr="00B02A73">
        <w:rPr>
          <w:rFonts w:ascii="Arial" w:hAnsi="Arial" w:cs="Arial"/>
        </w:rPr>
        <w:t xml:space="preserve"> </w:t>
      </w:r>
      <w:r w:rsidRPr="00B02A73">
        <w:rPr>
          <w:rFonts w:ascii="Arial" w:hAnsi="Arial" w:cs="Arial"/>
          <w:i/>
        </w:rPr>
        <w:t>(Please NOTE:  A complete list of EASE custom edits can be viewed by clicking on the web-link for</w:t>
      </w:r>
      <w:r>
        <w:rPr>
          <w:rFonts w:ascii="Arial" w:hAnsi="Arial" w:cs="Arial"/>
          <w:i/>
        </w:rPr>
        <w:t xml:space="preserve"> </w:t>
      </w:r>
      <w:r w:rsidRPr="00B02A73">
        <w:rPr>
          <w:rFonts w:ascii="Arial" w:hAnsi="Arial" w:cs="Arial"/>
          <w:i/>
        </w:rPr>
        <w:t xml:space="preserve">ASR </w:t>
      </w:r>
      <w:r w:rsidR="00536647">
        <w:rPr>
          <w:rFonts w:ascii="Arial" w:hAnsi="Arial" w:cs="Arial"/>
          <w:i/>
        </w:rPr>
        <w:t>Lumen</w:t>
      </w:r>
      <w:r w:rsidRPr="00B02A73">
        <w:rPr>
          <w:rFonts w:ascii="Arial" w:hAnsi="Arial" w:cs="Arial"/>
          <w:i/>
        </w:rPr>
        <w:t xml:space="preserve"> Custom Business Rules available from the EASE Homepage in the Guide (ASR) TAB.)</w:t>
      </w:r>
    </w:p>
    <w:p w14:paraId="0B0EE265" w14:textId="77777777" w:rsidR="002953CD" w:rsidRPr="00B02A73" w:rsidRDefault="002953CD" w:rsidP="002953CD">
      <w:pPr>
        <w:spacing w:after="0"/>
        <w:jc w:val="center"/>
        <w:rPr>
          <w:rFonts w:ascii="Arial" w:hAnsi="Arial" w:cs="Arial"/>
          <w:i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74"/>
        <w:gridCol w:w="1133"/>
        <w:gridCol w:w="907"/>
        <w:gridCol w:w="3169"/>
        <w:gridCol w:w="1268"/>
        <w:gridCol w:w="1586"/>
        <w:gridCol w:w="1375"/>
      </w:tblGrid>
      <w:tr w:rsidR="002953CD" w:rsidRPr="00B02A73" w14:paraId="228362DC" w14:textId="77777777" w:rsidTr="00650EB3">
        <w:tc>
          <w:tcPr>
            <w:tcW w:w="9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0FF230" w14:textId="77777777" w:rsidR="002953CD" w:rsidRPr="00B02A73" w:rsidRDefault="002953CD" w:rsidP="00650EB3">
            <w:pPr>
              <w:rPr>
                <w:rFonts w:ascii="Arial" w:hAnsi="Arial" w:cs="Arial"/>
              </w:rPr>
            </w:pPr>
            <w:r w:rsidRPr="00B02A73">
              <w:rPr>
                <w:rFonts w:ascii="Arial" w:hAnsi="Arial" w:cs="Arial"/>
              </w:rPr>
              <w:t>ASR Form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CB0FCD" w14:textId="77777777" w:rsidR="002953CD" w:rsidRPr="00B02A73" w:rsidRDefault="002953CD" w:rsidP="00650EB3">
            <w:pPr>
              <w:rPr>
                <w:rFonts w:ascii="Arial" w:hAnsi="Arial" w:cs="Arial"/>
              </w:rPr>
            </w:pPr>
            <w:r w:rsidRPr="00B02A73">
              <w:rPr>
                <w:rFonts w:ascii="Arial" w:hAnsi="Arial" w:cs="Arial"/>
              </w:rPr>
              <w:t>Field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2A08B0" w14:textId="77777777" w:rsidR="002953CD" w:rsidRPr="00B02A73" w:rsidRDefault="002953CD" w:rsidP="00650EB3">
            <w:pPr>
              <w:rPr>
                <w:rFonts w:ascii="Arial" w:hAnsi="Arial" w:cs="Arial"/>
              </w:rPr>
            </w:pPr>
            <w:r w:rsidRPr="00B02A73">
              <w:rPr>
                <w:rFonts w:ascii="Arial" w:hAnsi="Arial" w:cs="Arial"/>
              </w:rPr>
              <w:t>EDIT type</w:t>
            </w:r>
          </w:p>
        </w:tc>
        <w:tc>
          <w:tcPr>
            <w:tcW w:w="31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9BF9EA" w14:textId="77777777" w:rsidR="002953CD" w:rsidRPr="00B02A73" w:rsidRDefault="002953CD" w:rsidP="00650EB3">
            <w:pPr>
              <w:rPr>
                <w:rFonts w:ascii="Arial" w:hAnsi="Arial" w:cs="Arial"/>
              </w:rPr>
            </w:pPr>
            <w:r w:rsidRPr="00B02A73">
              <w:rPr>
                <w:rFonts w:ascii="Arial" w:hAnsi="Arial" w:cs="Arial"/>
              </w:rPr>
              <w:t>BUSINESS RULE / WEBCALL / EDIT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CF65C4" w14:textId="77777777" w:rsidR="002953CD" w:rsidRPr="00B02A73" w:rsidRDefault="002953CD" w:rsidP="00650EB3">
            <w:pPr>
              <w:jc w:val="center"/>
              <w:rPr>
                <w:rFonts w:ascii="Arial" w:hAnsi="Arial" w:cs="Arial"/>
              </w:rPr>
            </w:pPr>
            <w:r w:rsidRPr="00B02A73">
              <w:rPr>
                <w:rFonts w:ascii="Arial" w:hAnsi="Arial" w:cs="Arial"/>
              </w:rPr>
              <w:t>ERROR CODE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7FEF4A" w14:textId="77777777" w:rsidR="002953CD" w:rsidRPr="00B02A73" w:rsidRDefault="002953CD" w:rsidP="00650EB3">
            <w:pPr>
              <w:jc w:val="center"/>
              <w:rPr>
                <w:rFonts w:ascii="Arial" w:hAnsi="Arial" w:cs="Arial"/>
              </w:rPr>
            </w:pPr>
            <w:r w:rsidRPr="00B02A73">
              <w:rPr>
                <w:rFonts w:ascii="Arial" w:hAnsi="Arial" w:cs="Arial"/>
              </w:rPr>
              <w:t>REQUESTED ACTION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0BB09D" w14:textId="77777777" w:rsidR="002953CD" w:rsidRPr="00B02A73" w:rsidRDefault="002953CD" w:rsidP="00650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Legacy Company</w:t>
            </w:r>
          </w:p>
        </w:tc>
      </w:tr>
      <w:tr w:rsidR="002953CD" w:rsidRPr="00B02A73" w14:paraId="558874F1" w14:textId="77777777" w:rsidTr="00650EB3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5416" w14:textId="77777777" w:rsidR="002953CD" w:rsidRPr="00B02A73" w:rsidRDefault="002953CD" w:rsidP="00650EB3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9260" w14:textId="77777777" w:rsidR="002953CD" w:rsidRPr="00B02A73" w:rsidRDefault="002953CD" w:rsidP="00650EB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6A88" w14:textId="77777777" w:rsidR="002953CD" w:rsidRPr="00B02A73" w:rsidRDefault="002953CD" w:rsidP="00650EB3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AE68" w14:textId="77777777" w:rsidR="002953CD" w:rsidRPr="00B02A73" w:rsidRDefault="002953CD" w:rsidP="00650EB3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C529" w14:textId="77777777" w:rsidR="002953CD" w:rsidRPr="00B02A73" w:rsidRDefault="002953CD" w:rsidP="00650E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BFFC" w14:textId="77777777" w:rsidR="002953CD" w:rsidRPr="00B02A73" w:rsidRDefault="002953CD" w:rsidP="00650E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DC2" w14:textId="77777777" w:rsidR="002953CD" w:rsidRDefault="002953CD" w:rsidP="00650EB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EFB16BE" w14:textId="77777777" w:rsidR="002953CD" w:rsidRDefault="002953CD" w:rsidP="002953CD">
      <w:pPr>
        <w:rPr>
          <w:rFonts w:ascii="Arial" w:hAnsi="Arial" w:cs="Arial"/>
        </w:rPr>
      </w:pPr>
    </w:p>
    <w:p w14:paraId="4CEB8EC1" w14:textId="77777777" w:rsidR="00C563BB" w:rsidRPr="00753D33" w:rsidRDefault="00C563BB" w:rsidP="00C563BB">
      <w:pPr>
        <w:rPr>
          <w:rFonts w:ascii="Arial" w:hAnsi="Arial" w:cs="Arial"/>
        </w:rPr>
      </w:pPr>
    </w:p>
    <w:p w14:paraId="03D061A7" w14:textId="21C27943" w:rsidR="00C87C3E" w:rsidRPr="00753D33" w:rsidRDefault="00536647" w:rsidP="00C87C3E">
      <w:pPr>
        <w:spacing w:after="0" w:line="240" w:lineRule="auto"/>
        <w:rPr>
          <w:rFonts w:ascii="Arial" w:eastAsia="Times New Roman" w:hAnsi="Arial" w:cs="Arial"/>
          <w:color w:val="000000"/>
        </w:rPr>
      </w:pPr>
      <w:bookmarkStart w:id="9" w:name="_Hlk536169114"/>
      <w:r>
        <w:rPr>
          <w:rFonts w:ascii="Arial" w:eastAsia="Times New Roman" w:hAnsi="Arial" w:cs="Arial"/>
          <w:color w:val="000000"/>
        </w:rPr>
        <w:t>Lumen</w:t>
      </w:r>
      <w:r w:rsidR="00C87C3E" w:rsidRPr="00753D33">
        <w:rPr>
          <w:rFonts w:ascii="Arial" w:eastAsia="Times New Roman" w:hAnsi="Arial" w:cs="Arial"/>
          <w:color w:val="000000"/>
        </w:rPr>
        <w:t xml:space="preserve"> would like to use this notification to also provide an additional communication of upcoming company holidays.  </w:t>
      </w:r>
      <w:r>
        <w:rPr>
          <w:rFonts w:ascii="Arial" w:eastAsia="Times New Roman" w:hAnsi="Arial" w:cs="Arial"/>
          <w:color w:val="000000"/>
        </w:rPr>
        <w:t>Lumen</w:t>
      </w:r>
      <w:r w:rsidR="00C87C3E" w:rsidRPr="00753D33">
        <w:rPr>
          <w:rFonts w:ascii="Arial" w:eastAsia="Times New Roman" w:hAnsi="Arial" w:cs="Arial"/>
          <w:color w:val="000000"/>
        </w:rPr>
        <w:t xml:space="preserve"> looks forward to providing any order assistance on the next business day following the holiday dates listed below.</w:t>
      </w:r>
    </w:p>
    <w:p w14:paraId="6C3EE77B" w14:textId="35363EF7" w:rsidR="00C87C3E" w:rsidRDefault="00C87C3E" w:rsidP="00C563B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620"/>
        <w:gridCol w:w="2070"/>
        <w:gridCol w:w="3775"/>
      </w:tblGrid>
      <w:tr w:rsidR="00E917BB" w:rsidRPr="00A15522" w14:paraId="5C4F5A45" w14:textId="77777777" w:rsidTr="00A15522">
        <w:tc>
          <w:tcPr>
            <w:tcW w:w="3325" w:type="dxa"/>
            <w:shd w:val="clear" w:color="auto" w:fill="548DD4" w:themeFill="text2" w:themeFillTint="99"/>
          </w:tcPr>
          <w:p w14:paraId="4FBBCA06" w14:textId="6C0BB2E9" w:rsidR="00E917BB" w:rsidRPr="00A15522" w:rsidRDefault="00E917BB" w:rsidP="00C563BB">
            <w:pPr>
              <w:rPr>
                <w:rFonts w:ascii="Arial" w:hAnsi="Arial" w:cs="Arial"/>
                <w:b/>
                <w:bCs/>
              </w:rPr>
            </w:pPr>
            <w:r w:rsidRPr="00A15522">
              <w:rPr>
                <w:rFonts w:ascii="Arial" w:hAnsi="Arial" w:cs="Arial"/>
                <w:b/>
                <w:bCs/>
              </w:rPr>
              <w:t>Holiday</w:t>
            </w:r>
          </w:p>
        </w:tc>
        <w:tc>
          <w:tcPr>
            <w:tcW w:w="1620" w:type="dxa"/>
            <w:shd w:val="clear" w:color="auto" w:fill="548DD4" w:themeFill="text2" w:themeFillTint="99"/>
          </w:tcPr>
          <w:p w14:paraId="7242386B" w14:textId="652ECB1C" w:rsidR="00E917BB" w:rsidRPr="00A15522" w:rsidRDefault="00E917BB" w:rsidP="00C563BB">
            <w:pPr>
              <w:rPr>
                <w:rFonts w:ascii="Arial" w:hAnsi="Arial" w:cs="Arial"/>
                <w:b/>
                <w:bCs/>
              </w:rPr>
            </w:pPr>
            <w:r w:rsidRPr="00A15522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070" w:type="dxa"/>
            <w:shd w:val="clear" w:color="auto" w:fill="548DD4" w:themeFill="text2" w:themeFillTint="99"/>
          </w:tcPr>
          <w:p w14:paraId="717B64D1" w14:textId="745DEBFC" w:rsidR="00E917BB" w:rsidRPr="00A15522" w:rsidRDefault="00E917BB" w:rsidP="00C563BB">
            <w:pPr>
              <w:rPr>
                <w:rFonts w:ascii="Arial" w:hAnsi="Arial" w:cs="Arial"/>
                <w:b/>
                <w:bCs/>
              </w:rPr>
            </w:pPr>
            <w:r w:rsidRPr="00A15522">
              <w:rPr>
                <w:rFonts w:ascii="Arial" w:hAnsi="Arial" w:cs="Arial"/>
                <w:b/>
                <w:bCs/>
              </w:rPr>
              <w:t>Date Observed</w:t>
            </w:r>
          </w:p>
        </w:tc>
        <w:tc>
          <w:tcPr>
            <w:tcW w:w="3775" w:type="dxa"/>
            <w:shd w:val="clear" w:color="auto" w:fill="548DD4" w:themeFill="text2" w:themeFillTint="99"/>
          </w:tcPr>
          <w:p w14:paraId="25D7A12F" w14:textId="343DCAFA" w:rsidR="00E917BB" w:rsidRPr="00A15522" w:rsidRDefault="00E917BB" w:rsidP="00C563BB">
            <w:pPr>
              <w:rPr>
                <w:rFonts w:ascii="Arial" w:hAnsi="Arial" w:cs="Arial"/>
                <w:b/>
                <w:bCs/>
              </w:rPr>
            </w:pPr>
            <w:r w:rsidRPr="00A15522">
              <w:rPr>
                <w:rFonts w:ascii="Arial" w:hAnsi="Arial" w:cs="Arial"/>
                <w:b/>
                <w:bCs/>
              </w:rPr>
              <w:t>Exceptions</w:t>
            </w:r>
          </w:p>
        </w:tc>
      </w:tr>
      <w:tr w:rsidR="00A15522" w14:paraId="66A350ED" w14:textId="77777777" w:rsidTr="00A15522">
        <w:tc>
          <w:tcPr>
            <w:tcW w:w="3325" w:type="dxa"/>
            <w:shd w:val="clear" w:color="auto" w:fill="C6D9F1" w:themeFill="text2" w:themeFillTint="33"/>
          </w:tcPr>
          <w:p w14:paraId="31AB72BA" w14:textId="5AD50E09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 Day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14:paraId="195D0A63" w14:textId="3A168C66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9/6/2021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14:paraId="21643003" w14:textId="04EBD0BB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9/6/2021</w:t>
            </w:r>
          </w:p>
        </w:tc>
        <w:tc>
          <w:tcPr>
            <w:tcW w:w="3775" w:type="dxa"/>
            <w:shd w:val="clear" w:color="auto" w:fill="C6D9F1" w:themeFill="text2" w:themeFillTint="33"/>
          </w:tcPr>
          <w:p w14:paraId="1B92B7D6" w14:textId="77777777" w:rsidR="00A15522" w:rsidRDefault="00A15522" w:rsidP="00C563BB">
            <w:pPr>
              <w:rPr>
                <w:rFonts w:ascii="Arial" w:hAnsi="Arial" w:cs="Arial"/>
              </w:rPr>
            </w:pPr>
          </w:p>
        </w:tc>
      </w:tr>
      <w:tr w:rsidR="00A15522" w14:paraId="40B4D680" w14:textId="77777777" w:rsidTr="00A15522">
        <w:tc>
          <w:tcPr>
            <w:tcW w:w="3325" w:type="dxa"/>
            <w:shd w:val="clear" w:color="auto" w:fill="C6D9F1" w:themeFill="text2" w:themeFillTint="33"/>
          </w:tcPr>
          <w:p w14:paraId="76E7A410" w14:textId="559EDF3D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Thanksgiving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14:paraId="2F8DE7E2" w14:textId="09EBFB0E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11/25/2021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14:paraId="72059C7E" w14:textId="561CD69E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11/25/2021</w:t>
            </w:r>
          </w:p>
        </w:tc>
        <w:tc>
          <w:tcPr>
            <w:tcW w:w="3775" w:type="dxa"/>
            <w:shd w:val="clear" w:color="auto" w:fill="C6D9F1" w:themeFill="text2" w:themeFillTint="33"/>
          </w:tcPr>
          <w:p w14:paraId="5C519458" w14:textId="77777777" w:rsidR="00A15522" w:rsidRDefault="00A15522" w:rsidP="00C563BB">
            <w:pPr>
              <w:rPr>
                <w:rFonts w:ascii="Arial" w:hAnsi="Arial" w:cs="Arial"/>
              </w:rPr>
            </w:pPr>
          </w:p>
        </w:tc>
      </w:tr>
      <w:tr w:rsidR="00A15522" w14:paraId="55452F79" w14:textId="77777777" w:rsidTr="00A15522">
        <w:tc>
          <w:tcPr>
            <w:tcW w:w="3325" w:type="dxa"/>
            <w:shd w:val="clear" w:color="auto" w:fill="C6D9F1" w:themeFill="text2" w:themeFillTint="33"/>
          </w:tcPr>
          <w:p w14:paraId="197075F5" w14:textId="19F4FA01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After Thanksgiving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14:paraId="0A69F839" w14:textId="475224D4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11/26/2021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14:paraId="1E64495F" w14:textId="44A55BD8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11/26/2021</w:t>
            </w:r>
          </w:p>
        </w:tc>
        <w:tc>
          <w:tcPr>
            <w:tcW w:w="3775" w:type="dxa"/>
            <w:shd w:val="clear" w:color="auto" w:fill="C6D9F1" w:themeFill="text2" w:themeFillTint="33"/>
          </w:tcPr>
          <w:p w14:paraId="085F90DD" w14:textId="77777777" w:rsidR="00A15522" w:rsidRDefault="00A15522" w:rsidP="00C563BB">
            <w:pPr>
              <w:rPr>
                <w:rFonts w:ascii="Arial" w:hAnsi="Arial" w:cs="Arial"/>
              </w:rPr>
            </w:pPr>
          </w:p>
        </w:tc>
      </w:tr>
      <w:tr w:rsidR="00A15522" w14:paraId="472183A1" w14:textId="77777777" w:rsidTr="00A15522">
        <w:tc>
          <w:tcPr>
            <w:tcW w:w="3325" w:type="dxa"/>
            <w:shd w:val="clear" w:color="auto" w:fill="C6D9F1" w:themeFill="text2" w:themeFillTint="33"/>
          </w:tcPr>
          <w:p w14:paraId="4B0A7B91" w14:textId="66D29168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Christmas Eve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14:paraId="6C334BE8" w14:textId="3E7810E0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12/24/2021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14:paraId="06F3E225" w14:textId="350D9408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12/24/2021</w:t>
            </w:r>
          </w:p>
        </w:tc>
        <w:tc>
          <w:tcPr>
            <w:tcW w:w="3775" w:type="dxa"/>
            <w:shd w:val="clear" w:color="auto" w:fill="C6D9F1" w:themeFill="text2" w:themeFillTint="33"/>
          </w:tcPr>
          <w:p w14:paraId="5537576B" w14:textId="77777777" w:rsidR="00A15522" w:rsidRDefault="00A15522" w:rsidP="00C563BB">
            <w:pPr>
              <w:rPr>
                <w:rFonts w:ascii="Arial" w:hAnsi="Arial" w:cs="Arial"/>
              </w:rPr>
            </w:pPr>
          </w:p>
        </w:tc>
      </w:tr>
      <w:tr w:rsidR="00A15522" w14:paraId="63AE5859" w14:textId="77777777" w:rsidTr="00A15522">
        <w:tc>
          <w:tcPr>
            <w:tcW w:w="3325" w:type="dxa"/>
            <w:shd w:val="clear" w:color="auto" w:fill="C6D9F1" w:themeFill="text2" w:themeFillTint="33"/>
          </w:tcPr>
          <w:p w14:paraId="141241A2" w14:textId="38C50F89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Christmas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14:paraId="1B6C9A54" w14:textId="3D2C6751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12/25/2021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14:paraId="30693E04" w14:textId="440DE867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12/27/2021</w:t>
            </w:r>
          </w:p>
        </w:tc>
        <w:tc>
          <w:tcPr>
            <w:tcW w:w="3775" w:type="dxa"/>
            <w:shd w:val="clear" w:color="auto" w:fill="C6D9F1" w:themeFill="text2" w:themeFillTint="33"/>
          </w:tcPr>
          <w:p w14:paraId="507CED74" w14:textId="1C13A2FD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Holiday – LC Retail Only</w:t>
            </w:r>
          </w:p>
        </w:tc>
      </w:tr>
    </w:tbl>
    <w:p w14:paraId="7D1A5C13" w14:textId="77777777" w:rsidR="00E917BB" w:rsidRPr="00753D33" w:rsidRDefault="00E917BB" w:rsidP="00C563BB">
      <w:pPr>
        <w:rPr>
          <w:rFonts w:ascii="Arial" w:hAnsi="Arial" w:cs="Arial"/>
        </w:rPr>
      </w:pPr>
    </w:p>
    <w:bookmarkEnd w:id="9"/>
    <w:p w14:paraId="7E05BCC8" w14:textId="77777777" w:rsidR="003869B0" w:rsidRPr="00753D33" w:rsidRDefault="003869B0">
      <w:pPr>
        <w:rPr>
          <w:rFonts w:ascii="Arial" w:hAnsi="Arial" w:cs="Arial"/>
        </w:rPr>
      </w:pPr>
    </w:p>
    <w:sectPr w:rsidR="003869B0" w:rsidRPr="00753D33" w:rsidSect="00D7170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05EF4" w14:textId="77777777" w:rsidR="008575AE" w:rsidRDefault="008575AE" w:rsidP="00C563BB">
      <w:pPr>
        <w:spacing w:after="0" w:line="240" w:lineRule="auto"/>
      </w:pPr>
      <w:r>
        <w:separator/>
      </w:r>
    </w:p>
  </w:endnote>
  <w:endnote w:type="continuationSeparator" w:id="0">
    <w:p w14:paraId="0A8060C4" w14:textId="77777777" w:rsidR="008575AE" w:rsidRDefault="008575AE" w:rsidP="00C5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color w:val="8C8C8C" w:themeColor="background1" w:themeShade="8C"/>
        <w:sz w:val="18"/>
        <w:szCs w:val="18"/>
      </w:rPr>
      <w:alias w:val="Company"/>
      <w:id w:val="270665196"/>
      <w:placeholder>
        <w:docPart w:val="D13BD284D2F049D3A46507C7439D9880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1AF8DE4F" w14:textId="12BBE788" w:rsidR="008D7925" w:rsidRDefault="00536647" w:rsidP="00494797">
        <w:pPr>
          <w:pStyle w:val="Footer"/>
          <w:pBdr>
            <w:top w:val="single" w:sz="24" w:space="2" w:color="0070C0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  <w:sz w:val="18"/>
            <w:szCs w:val="18"/>
          </w:rPr>
          <w:t>Lumen</w:t>
        </w:r>
        <w:r w:rsidR="008D7925">
          <w:rPr>
            <w:i/>
            <w:iCs/>
            <w:color w:val="8C8C8C" w:themeColor="background1" w:themeShade="8C"/>
            <w:sz w:val="18"/>
            <w:szCs w:val="18"/>
          </w:rPr>
          <w:t xml:space="preserve"> –</w:t>
        </w:r>
        <w:r w:rsidR="00E84574">
          <w:rPr>
            <w:i/>
            <w:iCs/>
            <w:color w:val="8C8C8C" w:themeColor="background1" w:themeShade="8C"/>
            <w:sz w:val="18"/>
            <w:szCs w:val="18"/>
          </w:rPr>
          <w:t>Service Delivery &amp; Transformation</w:t>
        </w:r>
      </w:p>
    </w:sdtContent>
  </w:sdt>
  <w:p w14:paraId="58753FD5" w14:textId="77777777" w:rsidR="008D7925" w:rsidRDefault="008D7925" w:rsidP="00C563BB">
    <w:pPr>
      <w:pStyle w:val="Footer"/>
      <w:jc w:val="right"/>
      <w:rPr>
        <w:sz w:val="12"/>
        <w:szCs w:val="12"/>
      </w:rPr>
    </w:pPr>
    <w:r>
      <w:rPr>
        <w:sz w:val="12"/>
        <w:szCs w:val="12"/>
      </w:rPr>
      <w:t>Prepared by Letty Walker</w:t>
    </w:r>
  </w:p>
  <w:p w14:paraId="251EC4FE" w14:textId="65D99E39" w:rsidR="008D7925" w:rsidRDefault="008575AE" w:rsidP="00C563BB">
    <w:pPr>
      <w:pStyle w:val="Footer"/>
      <w:jc w:val="right"/>
      <w:rPr>
        <w:sz w:val="12"/>
        <w:szCs w:val="12"/>
      </w:rPr>
    </w:pPr>
    <w:hyperlink r:id="rId1" w:history="1">
      <w:r w:rsidR="008D7925">
        <w:rPr>
          <w:rStyle w:val="Hyperlink"/>
          <w:sz w:val="12"/>
          <w:szCs w:val="12"/>
        </w:rPr>
        <w:t>Letty.Hoagland@</w:t>
      </w:r>
      <w:r w:rsidR="00536647">
        <w:rPr>
          <w:rStyle w:val="Hyperlink"/>
          <w:sz w:val="12"/>
          <w:szCs w:val="12"/>
        </w:rPr>
        <w:t>Lumen</w:t>
      </w:r>
      <w:r w:rsidR="008D7925">
        <w:rPr>
          <w:rStyle w:val="Hyperlink"/>
          <w:sz w:val="12"/>
          <w:szCs w:val="12"/>
        </w:rPr>
        <w:t>.com</w:t>
      </w:r>
    </w:hyperlink>
    <w:r w:rsidR="008D7925">
      <w:rPr>
        <w:sz w:val="12"/>
        <w:szCs w:val="12"/>
      </w:rPr>
      <w:t>, (</w:t>
    </w:r>
    <w:r w:rsidR="00F73E6D">
      <w:rPr>
        <w:sz w:val="12"/>
        <w:szCs w:val="12"/>
      </w:rPr>
      <w:t>567) 345-0857</w:t>
    </w:r>
  </w:p>
  <w:sdt>
    <w:sdtPr>
      <w:id w:val="250395305"/>
      <w:docPartObj>
        <w:docPartGallery w:val="Page Numbers (Top of Page)"/>
        <w:docPartUnique/>
      </w:docPartObj>
    </w:sdtPr>
    <w:sdtEndPr/>
    <w:sdtContent>
      <w:p w14:paraId="28780C5B" w14:textId="72764ACB" w:rsidR="008D7925" w:rsidRDefault="008D7925" w:rsidP="00C563BB">
        <w:r>
          <w:rPr>
            <w:sz w:val="10"/>
            <w:szCs w:val="10"/>
          </w:rPr>
          <w:t xml:space="preserve">Page </w:t>
        </w:r>
        <w:r>
          <w:rPr>
            <w:sz w:val="10"/>
            <w:szCs w:val="10"/>
          </w:rPr>
          <w:fldChar w:fldCharType="begin"/>
        </w:r>
        <w:r>
          <w:rPr>
            <w:sz w:val="10"/>
            <w:szCs w:val="10"/>
          </w:rPr>
          <w:instrText xml:space="preserve"> PAGE </w:instrText>
        </w:r>
        <w:r>
          <w:rPr>
            <w:sz w:val="10"/>
            <w:szCs w:val="10"/>
          </w:rPr>
          <w:fldChar w:fldCharType="separate"/>
        </w:r>
        <w:r>
          <w:rPr>
            <w:noProof/>
            <w:sz w:val="10"/>
            <w:szCs w:val="10"/>
          </w:rPr>
          <w:t>32</w:t>
        </w:r>
        <w:r>
          <w:rPr>
            <w:sz w:val="10"/>
            <w:szCs w:val="10"/>
          </w:rPr>
          <w:fldChar w:fldCharType="end"/>
        </w:r>
        <w:r>
          <w:rPr>
            <w:sz w:val="10"/>
            <w:szCs w:val="10"/>
          </w:rPr>
          <w:t xml:space="preserve"> of </w:t>
        </w:r>
        <w:r>
          <w:rPr>
            <w:sz w:val="10"/>
            <w:szCs w:val="10"/>
          </w:rPr>
          <w:fldChar w:fldCharType="begin"/>
        </w:r>
        <w:r>
          <w:rPr>
            <w:sz w:val="10"/>
            <w:szCs w:val="10"/>
          </w:rPr>
          <w:instrText xml:space="preserve"> NUMPAGES  </w:instrText>
        </w:r>
        <w:r>
          <w:rPr>
            <w:sz w:val="10"/>
            <w:szCs w:val="10"/>
          </w:rPr>
          <w:fldChar w:fldCharType="separate"/>
        </w:r>
        <w:r>
          <w:rPr>
            <w:noProof/>
            <w:sz w:val="10"/>
            <w:szCs w:val="10"/>
          </w:rPr>
          <w:t>34</w:t>
        </w:r>
        <w:r>
          <w:rPr>
            <w:sz w:val="10"/>
            <w:szCs w:val="10"/>
          </w:rPr>
          <w:fldChar w:fldCharType="end"/>
        </w:r>
      </w:p>
    </w:sdtContent>
  </w:sdt>
  <w:p w14:paraId="207ECEDC" w14:textId="77777777" w:rsidR="008D7925" w:rsidRDefault="008D7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EC2A2" w14:textId="77777777" w:rsidR="008575AE" w:rsidRDefault="008575AE" w:rsidP="00C563BB">
      <w:pPr>
        <w:spacing w:after="0" w:line="240" w:lineRule="auto"/>
      </w:pPr>
      <w:r>
        <w:separator/>
      </w:r>
    </w:p>
  </w:footnote>
  <w:footnote w:type="continuationSeparator" w:id="0">
    <w:p w14:paraId="20AABC02" w14:textId="77777777" w:rsidR="008575AE" w:rsidRDefault="008575AE" w:rsidP="00C56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B30"/>
    <w:multiLevelType w:val="hybridMultilevel"/>
    <w:tmpl w:val="15B630DA"/>
    <w:lvl w:ilvl="0" w:tplc="2D3A9A12">
      <w:start w:val="7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26B74"/>
    <w:multiLevelType w:val="multilevel"/>
    <w:tmpl w:val="17E4F28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ASOG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Restart w:val="0"/>
      <w:pStyle w:val="Heading3ASOG"/>
      <w:isLgl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3.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3.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3.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3.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3.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3.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C55AB6"/>
    <w:multiLevelType w:val="hybridMultilevel"/>
    <w:tmpl w:val="D4762BB4"/>
    <w:lvl w:ilvl="0" w:tplc="8F9CE96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A27B9"/>
    <w:multiLevelType w:val="multilevel"/>
    <w:tmpl w:val="3724CA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FA145A9"/>
    <w:multiLevelType w:val="hybridMultilevel"/>
    <w:tmpl w:val="674E9814"/>
    <w:lvl w:ilvl="0" w:tplc="C736204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18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CC0B17"/>
    <w:multiLevelType w:val="hybridMultilevel"/>
    <w:tmpl w:val="8D1CE05A"/>
    <w:lvl w:ilvl="0" w:tplc="040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51340"/>
    <w:multiLevelType w:val="singleLevel"/>
    <w:tmpl w:val="5E1A7120"/>
    <w:lvl w:ilvl="0">
      <w:start w:val="1"/>
      <w:numFmt w:val="decimal"/>
      <w:lvlText w:val="3.%1"/>
      <w:lvlJc w:val="left"/>
      <w:pPr>
        <w:tabs>
          <w:tab w:val="num" w:pos="720"/>
        </w:tabs>
        <w:ind w:left="360" w:hanging="360"/>
      </w:pPr>
      <w:rPr>
        <w:rFonts w:ascii="Bookman Old Style" w:hAnsi="Bookman Old Style" w:hint="default"/>
        <w:b/>
        <w:i w:val="0"/>
        <w:sz w:val="24"/>
      </w:rPr>
    </w:lvl>
  </w:abstractNum>
  <w:abstractNum w:abstractNumId="8" w15:restartNumberingAfterBreak="0">
    <w:nsid w:val="20C2694A"/>
    <w:multiLevelType w:val="multilevel"/>
    <w:tmpl w:val="F8800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233363E"/>
    <w:multiLevelType w:val="hybridMultilevel"/>
    <w:tmpl w:val="1554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94645"/>
    <w:multiLevelType w:val="hybridMultilevel"/>
    <w:tmpl w:val="D41CD8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2D5B68"/>
    <w:multiLevelType w:val="hybridMultilevel"/>
    <w:tmpl w:val="BC245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931C21"/>
    <w:multiLevelType w:val="hybridMultilevel"/>
    <w:tmpl w:val="183C190E"/>
    <w:lvl w:ilvl="0" w:tplc="07EE77D8">
      <w:start w:val="48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B4B09"/>
    <w:multiLevelType w:val="hybridMultilevel"/>
    <w:tmpl w:val="C25007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AD3561"/>
    <w:multiLevelType w:val="hybridMultilevel"/>
    <w:tmpl w:val="F42E2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482A7A"/>
    <w:multiLevelType w:val="multilevel"/>
    <w:tmpl w:val="6E74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8A060B1"/>
    <w:multiLevelType w:val="hybridMultilevel"/>
    <w:tmpl w:val="62FA8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293557"/>
    <w:multiLevelType w:val="hybridMultilevel"/>
    <w:tmpl w:val="06F0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F7580"/>
    <w:multiLevelType w:val="hybridMultilevel"/>
    <w:tmpl w:val="08CCB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90581"/>
    <w:multiLevelType w:val="hybridMultilevel"/>
    <w:tmpl w:val="9D5EB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84712"/>
    <w:multiLevelType w:val="hybridMultilevel"/>
    <w:tmpl w:val="E0408BAA"/>
    <w:lvl w:ilvl="0" w:tplc="0409000F">
      <w:start w:val="6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41265"/>
    <w:multiLevelType w:val="multilevel"/>
    <w:tmpl w:val="E4DC660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C3F0BB2"/>
    <w:multiLevelType w:val="hybridMultilevel"/>
    <w:tmpl w:val="2F0E8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562C3"/>
    <w:multiLevelType w:val="hybridMultilevel"/>
    <w:tmpl w:val="C8C24F8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97906"/>
    <w:multiLevelType w:val="multilevel"/>
    <w:tmpl w:val="3724CA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F8B7913"/>
    <w:multiLevelType w:val="hybridMultilevel"/>
    <w:tmpl w:val="1DAE0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9F788F"/>
    <w:multiLevelType w:val="hybridMultilevel"/>
    <w:tmpl w:val="841CC28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42132"/>
    <w:multiLevelType w:val="hybridMultilevel"/>
    <w:tmpl w:val="6296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8"/>
  </w:num>
  <w:num w:numId="4">
    <w:abstractNumId w:val="10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5"/>
  </w:num>
  <w:num w:numId="12">
    <w:abstractNumId w:val="21"/>
  </w:num>
  <w:num w:numId="13">
    <w:abstractNumId w:val="24"/>
  </w:num>
  <w:num w:numId="14">
    <w:abstractNumId w:val="0"/>
  </w:num>
  <w:num w:numId="15">
    <w:abstractNumId w:val="6"/>
  </w:num>
  <w:num w:numId="16">
    <w:abstractNumId w:val="24"/>
    <w:lvlOverride w:ilvl="0">
      <w:startOverride w:val="1"/>
    </w:lvlOverride>
  </w:num>
  <w:num w:numId="17">
    <w:abstractNumId w:val="11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7"/>
  </w:num>
  <w:num w:numId="23">
    <w:abstractNumId w:val="4"/>
  </w:num>
  <w:num w:numId="24">
    <w:abstractNumId w:val="23"/>
  </w:num>
  <w:num w:numId="25">
    <w:abstractNumId w:val="26"/>
  </w:num>
  <w:num w:numId="26">
    <w:abstractNumId w:va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2"/>
  </w:num>
  <w:num w:numId="31">
    <w:abstractNumId w:val="16"/>
  </w:num>
  <w:num w:numId="32">
    <w:abstractNumId w:val="1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40F"/>
    <w:rsid w:val="00001BF5"/>
    <w:rsid w:val="000033CF"/>
    <w:rsid w:val="00004856"/>
    <w:rsid w:val="000113A8"/>
    <w:rsid w:val="000215F7"/>
    <w:rsid w:val="00026791"/>
    <w:rsid w:val="00042772"/>
    <w:rsid w:val="000435B2"/>
    <w:rsid w:val="00053980"/>
    <w:rsid w:val="00061905"/>
    <w:rsid w:val="0007223A"/>
    <w:rsid w:val="00075394"/>
    <w:rsid w:val="000858EE"/>
    <w:rsid w:val="000916E5"/>
    <w:rsid w:val="000A2741"/>
    <w:rsid w:val="000A5D11"/>
    <w:rsid w:val="000B10AC"/>
    <w:rsid w:val="000B15E4"/>
    <w:rsid w:val="000B792E"/>
    <w:rsid w:val="000C08B2"/>
    <w:rsid w:val="000C5522"/>
    <w:rsid w:val="000D072A"/>
    <w:rsid w:val="000D1A2B"/>
    <w:rsid w:val="000E1D2F"/>
    <w:rsid w:val="00122EC1"/>
    <w:rsid w:val="00126B27"/>
    <w:rsid w:val="00136938"/>
    <w:rsid w:val="00140157"/>
    <w:rsid w:val="00144D85"/>
    <w:rsid w:val="001577E4"/>
    <w:rsid w:val="00160109"/>
    <w:rsid w:val="001646DA"/>
    <w:rsid w:val="00170681"/>
    <w:rsid w:val="00173438"/>
    <w:rsid w:val="00173E96"/>
    <w:rsid w:val="0018630F"/>
    <w:rsid w:val="001B44CD"/>
    <w:rsid w:val="001B7DE5"/>
    <w:rsid w:val="001C11AA"/>
    <w:rsid w:val="001C5592"/>
    <w:rsid w:val="001D4D17"/>
    <w:rsid w:val="001D5537"/>
    <w:rsid w:val="001F5C54"/>
    <w:rsid w:val="00215824"/>
    <w:rsid w:val="00216EC5"/>
    <w:rsid w:val="00222F67"/>
    <w:rsid w:val="00225DD3"/>
    <w:rsid w:val="002265DC"/>
    <w:rsid w:val="002277C4"/>
    <w:rsid w:val="00244E0F"/>
    <w:rsid w:val="00260841"/>
    <w:rsid w:val="00262B44"/>
    <w:rsid w:val="002774A0"/>
    <w:rsid w:val="00281D77"/>
    <w:rsid w:val="00283206"/>
    <w:rsid w:val="0028519E"/>
    <w:rsid w:val="00285B76"/>
    <w:rsid w:val="002953CD"/>
    <w:rsid w:val="00297313"/>
    <w:rsid w:val="002A4634"/>
    <w:rsid w:val="002B1EA7"/>
    <w:rsid w:val="002C31CB"/>
    <w:rsid w:val="002C6E54"/>
    <w:rsid w:val="002E5138"/>
    <w:rsid w:val="00317DE5"/>
    <w:rsid w:val="003259AB"/>
    <w:rsid w:val="003433ED"/>
    <w:rsid w:val="003677C2"/>
    <w:rsid w:val="00370053"/>
    <w:rsid w:val="003854CC"/>
    <w:rsid w:val="0038598C"/>
    <w:rsid w:val="003869B0"/>
    <w:rsid w:val="003B35AF"/>
    <w:rsid w:val="003C20EE"/>
    <w:rsid w:val="003D00CB"/>
    <w:rsid w:val="003E562D"/>
    <w:rsid w:val="003F04FA"/>
    <w:rsid w:val="004016D6"/>
    <w:rsid w:val="004031EA"/>
    <w:rsid w:val="00422650"/>
    <w:rsid w:val="004242E4"/>
    <w:rsid w:val="0042562C"/>
    <w:rsid w:val="00427EDA"/>
    <w:rsid w:val="0043661C"/>
    <w:rsid w:val="00437158"/>
    <w:rsid w:val="00452791"/>
    <w:rsid w:val="004533B6"/>
    <w:rsid w:val="00454F8B"/>
    <w:rsid w:val="00466181"/>
    <w:rsid w:val="00474EB8"/>
    <w:rsid w:val="00475C23"/>
    <w:rsid w:val="00475F84"/>
    <w:rsid w:val="00494797"/>
    <w:rsid w:val="004A0AD9"/>
    <w:rsid w:val="004A2259"/>
    <w:rsid w:val="004A5EF1"/>
    <w:rsid w:val="004B0D56"/>
    <w:rsid w:val="004B3BEF"/>
    <w:rsid w:val="004B3C94"/>
    <w:rsid w:val="004C4330"/>
    <w:rsid w:val="004E3EE7"/>
    <w:rsid w:val="004E44E6"/>
    <w:rsid w:val="004F4FB2"/>
    <w:rsid w:val="00503165"/>
    <w:rsid w:val="00504ADD"/>
    <w:rsid w:val="005144F8"/>
    <w:rsid w:val="005153BD"/>
    <w:rsid w:val="00536647"/>
    <w:rsid w:val="005403EC"/>
    <w:rsid w:val="005474D9"/>
    <w:rsid w:val="005556F8"/>
    <w:rsid w:val="00556836"/>
    <w:rsid w:val="00557778"/>
    <w:rsid w:val="005627E9"/>
    <w:rsid w:val="00565E1F"/>
    <w:rsid w:val="00566EE4"/>
    <w:rsid w:val="00583E82"/>
    <w:rsid w:val="0059253E"/>
    <w:rsid w:val="0059661F"/>
    <w:rsid w:val="00597EBD"/>
    <w:rsid w:val="005A221D"/>
    <w:rsid w:val="005B5422"/>
    <w:rsid w:val="005B69E4"/>
    <w:rsid w:val="005C0F9E"/>
    <w:rsid w:val="005D02FA"/>
    <w:rsid w:val="005D16C9"/>
    <w:rsid w:val="005D6D69"/>
    <w:rsid w:val="005E5B83"/>
    <w:rsid w:val="00621A74"/>
    <w:rsid w:val="00621C7F"/>
    <w:rsid w:val="00642DF9"/>
    <w:rsid w:val="006514F3"/>
    <w:rsid w:val="006559D9"/>
    <w:rsid w:val="00660FB3"/>
    <w:rsid w:val="006772D5"/>
    <w:rsid w:val="00682280"/>
    <w:rsid w:val="0068726C"/>
    <w:rsid w:val="0068773B"/>
    <w:rsid w:val="006B24D1"/>
    <w:rsid w:val="006B69F8"/>
    <w:rsid w:val="006C6EA4"/>
    <w:rsid w:val="007001AB"/>
    <w:rsid w:val="0070101D"/>
    <w:rsid w:val="007014E5"/>
    <w:rsid w:val="007225D8"/>
    <w:rsid w:val="00724D76"/>
    <w:rsid w:val="00727B7F"/>
    <w:rsid w:val="007507CF"/>
    <w:rsid w:val="00753D33"/>
    <w:rsid w:val="00756C09"/>
    <w:rsid w:val="0076641F"/>
    <w:rsid w:val="00772D7D"/>
    <w:rsid w:val="0077716E"/>
    <w:rsid w:val="00787339"/>
    <w:rsid w:val="00790B7B"/>
    <w:rsid w:val="007A2663"/>
    <w:rsid w:val="007A7064"/>
    <w:rsid w:val="007B0CD9"/>
    <w:rsid w:val="007E6B5B"/>
    <w:rsid w:val="007E7249"/>
    <w:rsid w:val="008004A4"/>
    <w:rsid w:val="00802ADE"/>
    <w:rsid w:val="00810DB2"/>
    <w:rsid w:val="00812D0C"/>
    <w:rsid w:val="008142DB"/>
    <w:rsid w:val="00830D9C"/>
    <w:rsid w:val="008354D2"/>
    <w:rsid w:val="008575AE"/>
    <w:rsid w:val="00885179"/>
    <w:rsid w:val="008A2C11"/>
    <w:rsid w:val="008B1D52"/>
    <w:rsid w:val="008C7839"/>
    <w:rsid w:val="008D67C1"/>
    <w:rsid w:val="008D7925"/>
    <w:rsid w:val="00901B50"/>
    <w:rsid w:val="00907F82"/>
    <w:rsid w:val="0092740F"/>
    <w:rsid w:val="00944D4D"/>
    <w:rsid w:val="00955E26"/>
    <w:rsid w:val="00957B9D"/>
    <w:rsid w:val="0097457F"/>
    <w:rsid w:val="00975A80"/>
    <w:rsid w:val="00975E2B"/>
    <w:rsid w:val="00987950"/>
    <w:rsid w:val="009B740C"/>
    <w:rsid w:val="009D198D"/>
    <w:rsid w:val="009E2DB0"/>
    <w:rsid w:val="009E673B"/>
    <w:rsid w:val="009E7E1A"/>
    <w:rsid w:val="009F0EA3"/>
    <w:rsid w:val="009F1F48"/>
    <w:rsid w:val="009F4669"/>
    <w:rsid w:val="009F6125"/>
    <w:rsid w:val="00A06E50"/>
    <w:rsid w:val="00A07F11"/>
    <w:rsid w:val="00A1070A"/>
    <w:rsid w:val="00A15522"/>
    <w:rsid w:val="00A536BC"/>
    <w:rsid w:val="00A62774"/>
    <w:rsid w:val="00A637D9"/>
    <w:rsid w:val="00A67B75"/>
    <w:rsid w:val="00A751A8"/>
    <w:rsid w:val="00A83F2F"/>
    <w:rsid w:val="00A90DC3"/>
    <w:rsid w:val="00A95210"/>
    <w:rsid w:val="00A962C0"/>
    <w:rsid w:val="00AA1B9A"/>
    <w:rsid w:val="00AA3795"/>
    <w:rsid w:val="00AB5592"/>
    <w:rsid w:val="00AC2776"/>
    <w:rsid w:val="00AD0A3B"/>
    <w:rsid w:val="00AD4FAF"/>
    <w:rsid w:val="00AE4297"/>
    <w:rsid w:val="00AF38A1"/>
    <w:rsid w:val="00AF6A98"/>
    <w:rsid w:val="00B03387"/>
    <w:rsid w:val="00B157F1"/>
    <w:rsid w:val="00B302B4"/>
    <w:rsid w:val="00B50508"/>
    <w:rsid w:val="00B50CBD"/>
    <w:rsid w:val="00B54506"/>
    <w:rsid w:val="00B54748"/>
    <w:rsid w:val="00B66B34"/>
    <w:rsid w:val="00B67DFF"/>
    <w:rsid w:val="00BB4CFD"/>
    <w:rsid w:val="00BC62F4"/>
    <w:rsid w:val="00BC66C2"/>
    <w:rsid w:val="00BD3AC0"/>
    <w:rsid w:val="00BE19A7"/>
    <w:rsid w:val="00BE1B7F"/>
    <w:rsid w:val="00BE48E3"/>
    <w:rsid w:val="00BE6333"/>
    <w:rsid w:val="00BF185A"/>
    <w:rsid w:val="00BF2A9D"/>
    <w:rsid w:val="00C351F5"/>
    <w:rsid w:val="00C476D5"/>
    <w:rsid w:val="00C563BB"/>
    <w:rsid w:val="00C67987"/>
    <w:rsid w:val="00C725E8"/>
    <w:rsid w:val="00C734EC"/>
    <w:rsid w:val="00C87C3E"/>
    <w:rsid w:val="00C933BA"/>
    <w:rsid w:val="00C9647F"/>
    <w:rsid w:val="00CA4270"/>
    <w:rsid w:val="00CF0F42"/>
    <w:rsid w:val="00CF2F83"/>
    <w:rsid w:val="00D02A73"/>
    <w:rsid w:val="00D11715"/>
    <w:rsid w:val="00D17BE9"/>
    <w:rsid w:val="00D26A4E"/>
    <w:rsid w:val="00D420AA"/>
    <w:rsid w:val="00D45FA3"/>
    <w:rsid w:val="00D54007"/>
    <w:rsid w:val="00D556F2"/>
    <w:rsid w:val="00D649C0"/>
    <w:rsid w:val="00D6633C"/>
    <w:rsid w:val="00D71706"/>
    <w:rsid w:val="00DA14D7"/>
    <w:rsid w:val="00DA67C4"/>
    <w:rsid w:val="00DA6CF8"/>
    <w:rsid w:val="00DB6D66"/>
    <w:rsid w:val="00DC0E1D"/>
    <w:rsid w:val="00DE08DE"/>
    <w:rsid w:val="00DE16E9"/>
    <w:rsid w:val="00DF4CBC"/>
    <w:rsid w:val="00DF7634"/>
    <w:rsid w:val="00E0328F"/>
    <w:rsid w:val="00E04522"/>
    <w:rsid w:val="00E06414"/>
    <w:rsid w:val="00E201A9"/>
    <w:rsid w:val="00E31D70"/>
    <w:rsid w:val="00E335B8"/>
    <w:rsid w:val="00E432BD"/>
    <w:rsid w:val="00E441A9"/>
    <w:rsid w:val="00E84574"/>
    <w:rsid w:val="00E917BB"/>
    <w:rsid w:val="00E93600"/>
    <w:rsid w:val="00E958C9"/>
    <w:rsid w:val="00EA071F"/>
    <w:rsid w:val="00EB4FE5"/>
    <w:rsid w:val="00EC1A73"/>
    <w:rsid w:val="00EE69FA"/>
    <w:rsid w:val="00F052B9"/>
    <w:rsid w:val="00F10083"/>
    <w:rsid w:val="00F131F6"/>
    <w:rsid w:val="00F31B29"/>
    <w:rsid w:val="00F35790"/>
    <w:rsid w:val="00F35F8A"/>
    <w:rsid w:val="00F45336"/>
    <w:rsid w:val="00F52F6B"/>
    <w:rsid w:val="00F550B1"/>
    <w:rsid w:val="00F674E6"/>
    <w:rsid w:val="00F73E6D"/>
    <w:rsid w:val="00F750EA"/>
    <w:rsid w:val="00F772AF"/>
    <w:rsid w:val="00F77618"/>
    <w:rsid w:val="00F92ABF"/>
    <w:rsid w:val="00F94985"/>
    <w:rsid w:val="00FA2F85"/>
    <w:rsid w:val="00FA6497"/>
    <w:rsid w:val="00FB290D"/>
    <w:rsid w:val="00FC61BD"/>
    <w:rsid w:val="00FF0A52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73106"/>
  <w15:chartTrackingRefBased/>
  <w15:docId w15:val="{EA922F64-873A-46F4-9FFB-107F51A0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40F"/>
    <w:pPr>
      <w:spacing w:after="200" w:line="276" w:lineRule="auto"/>
    </w:pPr>
    <w:rPr>
      <w:rFonts w:eastAsiaTheme="minorEastAsia"/>
    </w:rPr>
  </w:style>
  <w:style w:type="paragraph" w:styleId="Heading1">
    <w:name w:val="heading 1"/>
    <w:aliases w:val="ASOG"/>
    <w:basedOn w:val="Normal"/>
    <w:next w:val="Normal"/>
    <w:link w:val="Heading1Char"/>
    <w:qFormat/>
    <w:rsid w:val="00BF185A"/>
    <w:pPr>
      <w:keepNext/>
      <w:numPr>
        <w:numId w:val="10"/>
      </w:numPr>
      <w:pBdr>
        <w:bottom w:val="single" w:sz="4" w:space="1" w:color="auto"/>
      </w:pBdr>
      <w:tabs>
        <w:tab w:val="left" w:pos="720"/>
        <w:tab w:val="left" w:pos="907"/>
        <w:tab w:val="left" w:pos="2160"/>
        <w:tab w:val="left" w:pos="2541"/>
        <w:tab w:val="left" w:pos="3222"/>
        <w:tab w:val="left" w:pos="8836"/>
      </w:tabs>
      <w:spacing w:before="60" w:after="120" w:line="240" w:lineRule="auto"/>
      <w:outlineLvl w:val="0"/>
    </w:pPr>
    <w:rPr>
      <w:rFonts w:ascii="Arial" w:eastAsia="Times New Roman" w:hAnsi="Arial" w:cs="Times New Roman"/>
      <w:b/>
      <w:kern w:val="24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7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D02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1706"/>
    <w:pPr>
      <w:keepNext/>
      <w:spacing w:after="0" w:line="240" w:lineRule="auto"/>
      <w:outlineLvl w:val="3"/>
    </w:pPr>
    <w:rPr>
      <w:rFonts w:ascii="Bookman Old Style" w:eastAsia="Times New Roman" w:hAnsi="Bookman Old Style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D71706"/>
    <w:rPr>
      <w:rFonts w:ascii="Bookman Old Style" w:eastAsia="Times New Roman" w:hAnsi="Bookman Old Style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D7170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63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C563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6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3B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qFormat/>
    <w:rsid w:val="00C56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3BB"/>
    <w:rPr>
      <w:rFonts w:eastAsiaTheme="minorEastAsia"/>
    </w:rPr>
  </w:style>
  <w:style w:type="paragraph" w:customStyle="1" w:styleId="NormalASOG">
    <w:name w:val="NormalASOG"/>
    <w:basedOn w:val="Normal"/>
    <w:rsid w:val="00144D85"/>
    <w:pPr>
      <w:tabs>
        <w:tab w:val="left" w:pos="907"/>
      </w:tabs>
      <w:spacing w:before="6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7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2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B2"/>
    <w:rPr>
      <w:rFonts w:ascii="Segoe UI" w:eastAsiaTheme="minorEastAsia" w:hAnsi="Segoe UI" w:cs="Segoe UI"/>
      <w:sz w:val="18"/>
      <w:szCs w:val="18"/>
    </w:rPr>
  </w:style>
  <w:style w:type="paragraph" w:customStyle="1" w:styleId="HeadDateASOG">
    <w:name w:val="HeadDateASOG"/>
    <w:basedOn w:val="Header"/>
    <w:rsid w:val="004F4FB2"/>
    <w:pPr>
      <w:tabs>
        <w:tab w:val="clear" w:pos="4680"/>
        <w:tab w:val="clear" w:pos="9360"/>
        <w:tab w:val="left" w:pos="0"/>
        <w:tab w:val="center" w:pos="4320"/>
        <w:tab w:val="right" w:pos="8640"/>
      </w:tabs>
      <w:spacing w:before="60" w:after="120"/>
      <w:jc w:val="right"/>
    </w:pPr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unhideWhenUsed/>
    <w:rsid w:val="00454F8B"/>
    <w:rPr>
      <w:sz w:val="16"/>
      <w:szCs w:val="16"/>
    </w:rPr>
  </w:style>
  <w:style w:type="paragraph" w:styleId="TOC2">
    <w:name w:val="toc 2"/>
    <w:basedOn w:val="Normal"/>
    <w:next w:val="Normal"/>
    <w:uiPriority w:val="39"/>
    <w:rsid w:val="008C7839"/>
    <w:pPr>
      <w:tabs>
        <w:tab w:val="right" w:leader="underscore" w:pos="8640"/>
      </w:tabs>
      <w:spacing w:before="60" w:after="120" w:line="240" w:lineRule="auto"/>
      <w:ind w:left="240"/>
      <w:jc w:val="both"/>
    </w:pPr>
    <w:rPr>
      <w:rFonts w:ascii="Arial" w:eastAsia="Times New Roman" w:hAnsi="Arial" w:cs="Times New Roman"/>
      <w:szCs w:val="20"/>
    </w:rPr>
  </w:style>
  <w:style w:type="character" w:customStyle="1" w:styleId="Heading1Char">
    <w:name w:val="Heading 1 Char"/>
    <w:aliases w:val="ASOG Char"/>
    <w:basedOn w:val="DefaultParagraphFont"/>
    <w:link w:val="Heading1"/>
    <w:rsid w:val="00BF185A"/>
    <w:rPr>
      <w:rFonts w:ascii="Arial" w:eastAsia="Times New Roman" w:hAnsi="Arial" w:cs="Times New Roman"/>
      <w:b/>
      <w:kern w:val="24"/>
      <w:sz w:val="32"/>
      <w:szCs w:val="20"/>
    </w:rPr>
  </w:style>
  <w:style w:type="paragraph" w:customStyle="1" w:styleId="Heading2ASOG">
    <w:name w:val="Heading2ASOG"/>
    <w:basedOn w:val="Heading2"/>
    <w:autoRedefine/>
    <w:rsid w:val="00BF185A"/>
    <w:pPr>
      <w:keepNext w:val="0"/>
      <w:keepLines w:val="0"/>
      <w:numPr>
        <w:ilvl w:val="1"/>
        <w:numId w:val="10"/>
      </w:numPr>
      <w:tabs>
        <w:tab w:val="left" w:pos="1080"/>
      </w:tabs>
      <w:spacing w:before="240" w:after="240" w:line="240" w:lineRule="auto"/>
    </w:pPr>
    <w:rPr>
      <w:rFonts w:ascii="Arial" w:eastAsia="Times New Roman" w:hAnsi="Arial" w:cs="Arial"/>
      <w:b/>
      <w:i/>
      <w:color w:val="000000"/>
      <w:sz w:val="28"/>
      <w:szCs w:val="20"/>
    </w:rPr>
  </w:style>
  <w:style w:type="paragraph" w:customStyle="1" w:styleId="Heading3ASOG">
    <w:name w:val="Heading3ASOG"/>
    <w:basedOn w:val="Heading3"/>
    <w:rsid w:val="00BF185A"/>
    <w:pPr>
      <w:keepLines w:val="0"/>
      <w:numPr>
        <w:ilvl w:val="2"/>
        <w:numId w:val="10"/>
      </w:numPr>
      <w:tabs>
        <w:tab w:val="left" w:pos="900"/>
        <w:tab w:val="left" w:pos="1080"/>
      </w:tabs>
      <w:spacing w:before="60" w:after="120" w:line="240" w:lineRule="auto"/>
      <w:jc w:val="both"/>
    </w:pPr>
    <w:rPr>
      <w:rFonts w:ascii="Arial" w:eastAsia="Times New Roman" w:hAnsi="Arial" w:cs="Times New Roman"/>
      <w:b/>
      <w:color w:val="auto"/>
    </w:rPr>
  </w:style>
  <w:style w:type="paragraph" w:styleId="FootnoteText">
    <w:name w:val="footnote text"/>
    <w:basedOn w:val="Normal"/>
    <w:link w:val="FootnoteTextChar"/>
    <w:semiHidden/>
    <w:rsid w:val="00437158"/>
    <w:pPr>
      <w:spacing w:before="6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37158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43715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772AF"/>
    <w:pPr>
      <w:spacing w:after="100"/>
    </w:pPr>
  </w:style>
  <w:style w:type="paragraph" w:styleId="NoSpacing">
    <w:name w:val="No Spacing"/>
    <w:uiPriority w:val="1"/>
    <w:qFormat/>
    <w:rsid w:val="000B10AC"/>
    <w:rPr>
      <w:color w:val="1F497D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tty.Hoagland@centurylink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3BD284D2F049D3A46507C7439D9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6BC36-9BF7-4F68-98C5-D8D7B1B68ECA}"/>
      </w:docPartPr>
      <w:docPartBody>
        <w:p w:rsidR="004664FD" w:rsidRDefault="004664FD" w:rsidP="004664FD">
          <w:pPr>
            <w:pStyle w:val="D13BD284D2F049D3A46507C7439D9880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FD"/>
    <w:rsid w:val="00002B65"/>
    <w:rsid w:val="000C6066"/>
    <w:rsid w:val="000E570A"/>
    <w:rsid w:val="001C49B3"/>
    <w:rsid w:val="00264E19"/>
    <w:rsid w:val="00270D07"/>
    <w:rsid w:val="00293389"/>
    <w:rsid w:val="002A30BE"/>
    <w:rsid w:val="002A463A"/>
    <w:rsid w:val="002B1BD7"/>
    <w:rsid w:val="002C1913"/>
    <w:rsid w:val="002E6B9F"/>
    <w:rsid w:val="00306CF3"/>
    <w:rsid w:val="003E4A4B"/>
    <w:rsid w:val="004664FD"/>
    <w:rsid w:val="004B5423"/>
    <w:rsid w:val="00530C8C"/>
    <w:rsid w:val="005C5CB2"/>
    <w:rsid w:val="00753540"/>
    <w:rsid w:val="008133EA"/>
    <w:rsid w:val="00972A07"/>
    <w:rsid w:val="00A14B0C"/>
    <w:rsid w:val="00A15494"/>
    <w:rsid w:val="00A81D05"/>
    <w:rsid w:val="00AA19F8"/>
    <w:rsid w:val="00C2469B"/>
    <w:rsid w:val="00CD4626"/>
    <w:rsid w:val="00D16BA4"/>
    <w:rsid w:val="00DE578C"/>
    <w:rsid w:val="00DF255A"/>
    <w:rsid w:val="00E040A6"/>
    <w:rsid w:val="00E33904"/>
    <w:rsid w:val="00E6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3BD284D2F049D3A46507C7439D9880">
    <w:name w:val="D13BD284D2F049D3A46507C7439D9880"/>
    <w:rsid w:val="00466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8CA76-086E-49C3-9DC3-913A52EC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1401</Words>
  <Characters>7066</Characters>
  <Application>Microsoft Office Word</Application>
  <DocSecurity>0</DocSecurity>
  <Lines>415</Lines>
  <Paragraphs>338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Lumen –Service Delivery &amp; Transformation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Letty E</dc:creator>
  <cp:keywords/>
  <dc:description/>
  <cp:lastModifiedBy>Walker, Letty E</cp:lastModifiedBy>
  <cp:revision>5</cp:revision>
  <dcterms:created xsi:type="dcterms:W3CDTF">2021-05-04T19:36:00Z</dcterms:created>
  <dcterms:modified xsi:type="dcterms:W3CDTF">2021-05-04T20:58:00Z</dcterms:modified>
</cp:coreProperties>
</file>